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50" w:rsidRPr="001B59BF" w:rsidRDefault="007A5850" w:rsidP="007A5850">
      <w:pPr>
        <w:pStyle w:val="TITULOS"/>
        <w:rPr>
          <w:sz w:val="28"/>
          <w:szCs w:val="28"/>
        </w:rPr>
      </w:pPr>
      <w:r w:rsidRPr="001B59BF">
        <w:rPr>
          <w:sz w:val="28"/>
          <w:szCs w:val="28"/>
        </w:rPr>
        <w:t>Instituto nacional de medicina genomica</w:t>
      </w:r>
    </w:p>
    <w:p w:rsidR="007A5850" w:rsidRPr="001B59BF" w:rsidRDefault="007A5850" w:rsidP="007A5850">
      <w:pPr>
        <w:pStyle w:val="TITULOS"/>
        <w:rPr>
          <w:sz w:val="28"/>
          <w:szCs w:val="28"/>
        </w:rPr>
      </w:pPr>
      <w:r w:rsidRPr="001B59BF">
        <w:rPr>
          <w:sz w:val="28"/>
          <w:szCs w:val="28"/>
        </w:rPr>
        <w:t>Notas a los estados financieros</w:t>
      </w:r>
    </w:p>
    <w:p w:rsidR="007A5850" w:rsidRPr="001B59BF" w:rsidRDefault="007A5850" w:rsidP="007A5850">
      <w:pPr>
        <w:pStyle w:val="TITULOS"/>
      </w:pPr>
    </w:p>
    <w:p w:rsidR="007A5850" w:rsidRPr="001B59BF" w:rsidRDefault="007A5850" w:rsidP="007A5850">
      <w:pPr>
        <w:pStyle w:val="TEXTONORMAL"/>
      </w:pPr>
    </w:p>
    <w:p w:rsidR="007A5850" w:rsidRPr="001B59BF" w:rsidRDefault="007A5850" w:rsidP="007A5850">
      <w:pPr>
        <w:pStyle w:val="TEXTONORMAL"/>
        <w:ind w:left="357" w:hanging="357"/>
        <w:rPr>
          <w:b/>
          <w:sz w:val="22"/>
        </w:rPr>
      </w:pPr>
      <w:r w:rsidRPr="001B59BF">
        <w:rPr>
          <w:b/>
          <w:sz w:val="22"/>
        </w:rPr>
        <w:t>I. NOTAS A LOS ESTADOS FINANCIEROS</w:t>
      </w:r>
    </w:p>
    <w:p w:rsidR="007A5850" w:rsidRPr="001B59BF" w:rsidRDefault="007A5850" w:rsidP="007A5850">
      <w:pPr>
        <w:pStyle w:val="TEXTONORMAL"/>
      </w:pPr>
      <w:r w:rsidRPr="001B59BF">
        <w:t>A efecto de dar cumplimiento al artículo 46 y 49 de la Ley de Contabilidad, el Instituto Nacional de Medicina Genómica emite las notas a los estados financieros cuyos rubros así lo requieren teniendo presente los postulados de revelación suficiente e importancia relativa con la finalidad, de que la información sea de mayor utilidad para los usuarios.</w:t>
      </w:r>
    </w:p>
    <w:p w:rsidR="007A5850" w:rsidRPr="001B59BF" w:rsidRDefault="007A5850" w:rsidP="007A5850">
      <w:pPr>
        <w:pStyle w:val="TEXTONORMAL"/>
        <w:numPr>
          <w:ilvl w:val="0"/>
          <w:numId w:val="14"/>
        </w:numPr>
      </w:pPr>
      <w:r w:rsidRPr="001B59BF">
        <w:t>1. NOTAS AL ESTADO DE SITUACION FINANCIERA</w:t>
      </w:r>
    </w:p>
    <w:p w:rsidR="007A5850" w:rsidRPr="001B59BF" w:rsidRDefault="007A5850" w:rsidP="007A5850">
      <w:pPr>
        <w:pStyle w:val="TEXTONORMAL"/>
      </w:pPr>
    </w:p>
    <w:p w:rsidR="007A5850" w:rsidRPr="001B59BF" w:rsidRDefault="007A5850" w:rsidP="007A5850">
      <w:pPr>
        <w:pStyle w:val="TEXTONORMAL"/>
        <w:numPr>
          <w:ilvl w:val="0"/>
          <w:numId w:val="15"/>
        </w:numPr>
      </w:pPr>
      <w:r w:rsidRPr="001B59BF">
        <w:t>ACTIVO</w:t>
      </w:r>
    </w:p>
    <w:p w:rsidR="007A5850" w:rsidRPr="0034031B" w:rsidRDefault="007A5850" w:rsidP="007A5850">
      <w:pPr>
        <w:pStyle w:val="TEXTONORMAL"/>
        <w:spacing w:after="0" w:line="220" w:lineRule="exact"/>
        <w:jc w:val="center"/>
        <w:rPr>
          <w:b/>
        </w:rPr>
      </w:pPr>
      <w:r w:rsidRPr="0034031B">
        <w:rPr>
          <w:b/>
        </w:rPr>
        <w:t>1.1 Efectivo y Equivalentes de Efectivo</w:t>
      </w:r>
    </w:p>
    <w:p w:rsidR="007A5850" w:rsidRPr="0034031B" w:rsidRDefault="007A5850" w:rsidP="007A5850">
      <w:pPr>
        <w:pStyle w:val="TEXTONORMAL"/>
        <w:spacing w:after="0" w:line="220" w:lineRule="exact"/>
        <w:jc w:val="center"/>
        <w:rPr>
          <w:b/>
        </w:rPr>
      </w:pPr>
    </w:p>
    <w:tbl>
      <w:tblPr>
        <w:tblW w:w="10022" w:type="dxa"/>
        <w:jc w:val="center"/>
        <w:tblInd w:w="-1087" w:type="dxa"/>
        <w:tblCellMar>
          <w:left w:w="70" w:type="dxa"/>
          <w:right w:w="70" w:type="dxa"/>
        </w:tblCellMar>
        <w:tblLook w:val="04A0" w:firstRow="1" w:lastRow="0" w:firstColumn="1" w:lastColumn="0" w:noHBand="0" w:noVBand="1"/>
      </w:tblPr>
      <w:tblGrid>
        <w:gridCol w:w="3855"/>
        <w:gridCol w:w="2807"/>
        <w:gridCol w:w="3360"/>
      </w:tblGrid>
      <w:tr w:rsidR="007A5850" w:rsidRPr="0034031B" w:rsidTr="003E15CE">
        <w:trPr>
          <w:cantSplit/>
          <w:jc w:val="center"/>
        </w:trPr>
        <w:tc>
          <w:tcPr>
            <w:tcW w:w="1923" w:type="pct"/>
            <w:tcBorders>
              <w:top w:val="nil"/>
              <w:left w:val="nil"/>
              <w:bottom w:val="nil"/>
              <w:right w:val="single" w:sz="8" w:space="0" w:color="FFFFFF"/>
            </w:tcBorders>
            <w:shd w:val="clear" w:color="auto" w:fill="D4C19C"/>
            <w:vAlign w:val="center"/>
            <w:hideMark/>
          </w:tcPr>
          <w:p w:rsidR="007A5850" w:rsidRPr="0034031B" w:rsidRDefault="007A5850" w:rsidP="001E0E59">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CONCEPTO</w:t>
            </w:r>
          </w:p>
        </w:tc>
        <w:tc>
          <w:tcPr>
            <w:tcW w:w="1400" w:type="pct"/>
            <w:tcBorders>
              <w:top w:val="nil"/>
              <w:left w:val="single" w:sz="8" w:space="0" w:color="FFFFFF"/>
              <w:bottom w:val="nil"/>
              <w:right w:val="single" w:sz="8" w:space="0" w:color="FFFFFF"/>
            </w:tcBorders>
            <w:shd w:val="clear" w:color="auto" w:fill="D4C19C"/>
            <w:vAlign w:val="center"/>
            <w:hideMark/>
          </w:tcPr>
          <w:p w:rsidR="007A5850" w:rsidRPr="0034031B" w:rsidRDefault="007A5850" w:rsidP="00FF572A">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676" w:type="pct"/>
            <w:tcBorders>
              <w:top w:val="nil"/>
              <w:left w:val="single" w:sz="8" w:space="0" w:color="FFFFFF"/>
              <w:bottom w:val="nil"/>
              <w:right w:val="single" w:sz="8" w:space="0" w:color="FFFFFF"/>
            </w:tcBorders>
            <w:shd w:val="clear" w:color="auto" w:fill="D4C19C"/>
            <w:vAlign w:val="center"/>
            <w:hideMark/>
          </w:tcPr>
          <w:p w:rsidR="007A5850" w:rsidRPr="0034031B" w:rsidRDefault="007A5850" w:rsidP="00FF572A">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4031B" w:rsidTr="003E15CE">
        <w:trPr>
          <w:cantSplit/>
          <w:trHeight w:val="70"/>
          <w:jc w:val="center"/>
        </w:trPr>
        <w:tc>
          <w:tcPr>
            <w:tcW w:w="1923" w:type="pct"/>
            <w:tcBorders>
              <w:top w:val="nil"/>
              <w:left w:val="nil"/>
              <w:bottom w:val="double" w:sz="12" w:space="0" w:color="808080"/>
              <w:right w:val="nil"/>
            </w:tcBorders>
            <w:vAlign w:val="center"/>
          </w:tcPr>
          <w:p w:rsidR="007A5850" w:rsidRPr="0034031B" w:rsidRDefault="007A5850" w:rsidP="001E0E59">
            <w:pPr>
              <w:spacing w:after="0" w:line="40" w:lineRule="atLeast"/>
              <w:jc w:val="center"/>
              <w:rPr>
                <w:rFonts w:ascii="Montserrat" w:hAnsi="Montserrat"/>
                <w:b/>
                <w:bCs/>
                <w:sz w:val="18"/>
                <w:szCs w:val="18"/>
                <w:lang w:eastAsia="es-MX"/>
              </w:rPr>
            </w:pPr>
          </w:p>
        </w:tc>
        <w:tc>
          <w:tcPr>
            <w:tcW w:w="1400" w:type="pct"/>
            <w:tcBorders>
              <w:top w:val="nil"/>
              <w:left w:val="nil"/>
              <w:bottom w:val="double" w:sz="12" w:space="0" w:color="808080"/>
              <w:right w:val="nil"/>
            </w:tcBorders>
            <w:vAlign w:val="center"/>
          </w:tcPr>
          <w:p w:rsidR="007A5850" w:rsidRPr="0034031B" w:rsidRDefault="007A5850" w:rsidP="001E0E59">
            <w:pPr>
              <w:spacing w:after="0" w:line="40" w:lineRule="atLeast"/>
              <w:jc w:val="center"/>
              <w:rPr>
                <w:rFonts w:ascii="Montserrat" w:hAnsi="Montserrat"/>
                <w:b/>
                <w:bCs/>
                <w:sz w:val="18"/>
                <w:szCs w:val="18"/>
                <w:lang w:eastAsia="es-MX"/>
              </w:rPr>
            </w:pPr>
          </w:p>
        </w:tc>
        <w:tc>
          <w:tcPr>
            <w:tcW w:w="1676" w:type="pct"/>
            <w:tcBorders>
              <w:top w:val="nil"/>
              <w:left w:val="nil"/>
              <w:bottom w:val="double" w:sz="12" w:space="0" w:color="808080"/>
              <w:right w:val="nil"/>
            </w:tcBorders>
            <w:vAlign w:val="center"/>
          </w:tcPr>
          <w:p w:rsidR="007A5850" w:rsidRPr="0034031B" w:rsidRDefault="007A5850" w:rsidP="001E0E59">
            <w:pPr>
              <w:spacing w:after="0" w:line="40" w:lineRule="atLeast"/>
              <w:jc w:val="center"/>
              <w:rPr>
                <w:rFonts w:ascii="Montserrat" w:hAnsi="Montserrat"/>
                <w:b/>
                <w:bCs/>
                <w:sz w:val="18"/>
                <w:szCs w:val="18"/>
                <w:lang w:eastAsia="es-MX"/>
              </w:rPr>
            </w:pPr>
          </w:p>
        </w:tc>
      </w:tr>
      <w:tr w:rsidR="00FF572A" w:rsidRPr="0034031B" w:rsidTr="003E15CE">
        <w:trPr>
          <w:cantSplit/>
          <w:jc w:val="center"/>
        </w:trPr>
        <w:tc>
          <w:tcPr>
            <w:tcW w:w="1923" w:type="pct"/>
            <w:tcBorders>
              <w:top w:val="double" w:sz="12" w:space="0" w:color="808080"/>
              <w:left w:val="nil"/>
              <w:bottom w:val="nil"/>
              <w:right w:val="nil"/>
            </w:tcBorders>
            <w:shd w:val="clear" w:color="auto" w:fill="F2F2F2"/>
            <w:noWrap/>
            <w:vAlign w:val="center"/>
            <w:hideMark/>
          </w:tcPr>
          <w:p w:rsidR="00FF572A" w:rsidRPr="0034031B" w:rsidRDefault="00FF572A" w:rsidP="001E0E59">
            <w:pPr>
              <w:spacing w:before="20" w:after="20" w:line="240" w:lineRule="auto"/>
              <w:rPr>
                <w:rFonts w:ascii="Montserrat" w:hAnsi="Montserrat"/>
                <w:b/>
                <w:bCs/>
                <w:color w:val="000000"/>
                <w:sz w:val="18"/>
                <w:szCs w:val="18"/>
              </w:rPr>
            </w:pPr>
            <w:r w:rsidRPr="0034031B">
              <w:rPr>
                <w:rFonts w:ascii="Montserrat" w:hAnsi="Montserrat"/>
                <w:b/>
                <w:bCs/>
                <w:color w:val="000000"/>
                <w:sz w:val="18"/>
                <w:szCs w:val="18"/>
              </w:rPr>
              <w:t>TOTAL</w:t>
            </w:r>
          </w:p>
        </w:tc>
        <w:tc>
          <w:tcPr>
            <w:tcW w:w="1400" w:type="pct"/>
            <w:tcBorders>
              <w:top w:val="double" w:sz="12" w:space="0" w:color="808080"/>
              <w:left w:val="nil"/>
              <w:bottom w:val="nil"/>
              <w:right w:val="nil"/>
            </w:tcBorders>
            <w:shd w:val="clear" w:color="auto" w:fill="F2F2F2"/>
            <w:vAlign w:val="center"/>
          </w:tcPr>
          <w:p w:rsidR="00FF572A" w:rsidRPr="0034031B" w:rsidRDefault="00B70B9A"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46,349,482</w:t>
            </w:r>
          </w:p>
        </w:tc>
        <w:tc>
          <w:tcPr>
            <w:tcW w:w="1676" w:type="pct"/>
            <w:tcBorders>
              <w:top w:val="double" w:sz="12" w:space="0" w:color="808080"/>
              <w:left w:val="nil"/>
              <w:bottom w:val="nil"/>
              <w:right w:val="nil"/>
            </w:tcBorders>
            <w:shd w:val="clear" w:color="auto" w:fill="F2F2F2"/>
            <w:vAlign w:val="center"/>
            <w:hideMark/>
          </w:tcPr>
          <w:p w:rsidR="00FF572A" w:rsidRPr="0034031B" w:rsidRDefault="00FF572A" w:rsidP="00FF572A">
            <w:pPr>
              <w:spacing w:before="20" w:after="20" w:line="240" w:lineRule="auto"/>
              <w:jc w:val="right"/>
              <w:rPr>
                <w:rFonts w:ascii="Montserrat" w:hAnsi="Montserrat"/>
                <w:b/>
                <w:bCs/>
                <w:color w:val="000000"/>
                <w:sz w:val="18"/>
                <w:szCs w:val="18"/>
              </w:rPr>
            </w:pPr>
            <w:r w:rsidRPr="0034031B">
              <w:rPr>
                <w:rFonts w:ascii="Montserrat" w:hAnsi="Montserrat"/>
                <w:b/>
                <w:bCs/>
                <w:color w:val="000000"/>
                <w:sz w:val="18"/>
                <w:szCs w:val="18"/>
              </w:rPr>
              <w:t>37,712,450</w:t>
            </w:r>
          </w:p>
        </w:tc>
      </w:tr>
      <w:tr w:rsidR="00FF572A" w:rsidRPr="0034031B" w:rsidTr="003E15CE">
        <w:trPr>
          <w:cantSplit/>
          <w:jc w:val="center"/>
        </w:trPr>
        <w:tc>
          <w:tcPr>
            <w:tcW w:w="1923" w:type="pct"/>
            <w:shd w:val="clear" w:color="auto" w:fill="F2F2F2"/>
            <w:noWrap/>
            <w:vAlign w:val="center"/>
            <w:hideMark/>
          </w:tcPr>
          <w:p w:rsidR="00FF572A" w:rsidRPr="0034031B" w:rsidRDefault="00FF572A" w:rsidP="001E0E59">
            <w:pPr>
              <w:spacing w:before="20" w:after="20" w:line="240" w:lineRule="auto"/>
              <w:rPr>
                <w:rFonts w:ascii="Montserrat" w:hAnsi="Montserrat"/>
                <w:bCs/>
                <w:color w:val="000000"/>
                <w:sz w:val="18"/>
                <w:szCs w:val="18"/>
              </w:rPr>
            </w:pPr>
            <w:r w:rsidRPr="0034031B">
              <w:rPr>
                <w:rFonts w:ascii="Montserrat" w:hAnsi="Montserrat"/>
                <w:bCs/>
                <w:color w:val="000000"/>
                <w:sz w:val="18"/>
                <w:szCs w:val="18"/>
              </w:rPr>
              <w:t>Bancos Recursos Fiscales</w:t>
            </w:r>
          </w:p>
        </w:tc>
        <w:tc>
          <w:tcPr>
            <w:tcW w:w="1400" w:type="pct"/>
            <w:shd w:val="clear" w:color="auto" w:fill="F2F2F2"/>
            <w:noWrap/>
            <w:vAlign w:val="center"/>
          </w:tcPr>
          <w:p w:rsidR="00FF572A" w:rsidRPr="0034031B" w:rsidRDefault="00B70B9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1,578,420</w:t>
            </w:r>
          </w:p>
        </w:tc>
        <w:tc>
          <w:tcPr>
            <w:tcW w:w="1676" w:type="pct"/>
            <w:shd w:val="clear" w:color="auto" w:fill="F2F2F2"/>
            <w:noWrap/>
            <w:vAlign w:val="center"/>
            <w:hideMark/>
          </w:tcPr>
          <w:p w:rsidR="00FF572A" w:rsidRPr="0034031B" w:rsidRDefault="00FF572A" w:rsidP="00FF572A">
            <w:pPr>
              <w:spacing w:before="20" w:after="20" w:line="240" w:lineRule="auto"/>
              <w:jc w:val="right"/>
              <w:rPr>
                <w:rFonts w:ascii="Montserrat" w:hAnsi="Montserrat"/>
                <w:bCs/>
                <w:color w:val="000000"/>
                <w:sz w:val="18"/>
                <w:szCs w:val="18"/>
              </w:rPr>
            </w:pPr>
          </w:p>
        </w:tc>
      </w:tr>
      <w:tr w:rsidR="00FF572A" w:rsidRPr="0034031B" w:rsidTr="003E15CE">
        <w:trPr>
          <w:cantSplit/>
          <w:jc w:val="center"/>
        </w:trPr>
        <w:tc>
          <w:tcPr>
            <w:tcW w:w="1923" w:type="pct"/>
            <w:shd w:val="clear" w:color="auto" w:fill="F2F2F2"/>
            <w:noWrap/>
            <w:vAlign w:val="center"/>
            <w:hideMark/>
          </w:tcPr>
          <w:p w:rsidR="00FF572A" w:rsidRPr="0034031B" w:rsidRDefault="00FF572A" w:rsidP="001E0E59">
            <w:pPr>
              <w:spacing w:before="20" w:after="20" w:line="240" w:lineRule="auto"/>
              <w:rPr>
                <w:rFonts w:ascii="Montserrat" w:hAnsi="Montserrat"/>
                <w:bCs/>
                <w:color w:val="000000"/>
                <w:sz w:val="18"/>
                <w:szCs w:val="18"/>
              </w:rPr>
            </w:pPr>
            <w:r w:rsidRPr="0034031B">
              <w:rPr>
                <w:rFonts w:ascii="Montserrat" w:hAnsi="Montserrat"/>
                <w:bCs/>
                <w:color w:val="000000"/>
                <w:sz w:val="18"/>
                <w:szCs w:val="18"/>
              </w:rPr>
              <w:t>Bancos Recursos Propios</w:t>
            </w:r>
          </w:p>
        </w:tc>
        <w:tc>
          <w:tcPr>
            <w:tcW w:w="1400" w:type="pct"/>
            <w:shd w:val="clear" w:color="auto" w:fill="F2F2F2"/>
            <w:noWrap/>
            <w:vAlign w:val="center"/>
          </w:tcPr>
          <w:p w:rsidR="00FF572A" w:rsidRPr="0034031B" w:rsidRDefault="00B70B9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18,371,556</w:t>
            </w:r>
          </w:p>
        </w:tc>
        <w:tc>
          <w:tcPr>
            <w:tcW w:w="1676" w:type="pct"/>
            <w:shd w:val="clear" w:color="auto" w:fill="F2F2F2"/>
            <w:noWrap/>
            <w:vAlign w:val="center"/>
            <w:hideMark/>
          </w:tcPr>
          <w:p w:rsidR="00FF572A" w:rsidRPr="0034031B" w:rsidRDefault="00FF572A" w:rsidP="00FF572A">
            <w:pPr>
              <w:spacing w:before="20" w:after="20" w:line="240" w:lineRule="auto"/>
              <w:jc w:val="right"/>
              <w:rPr>
                <w:rFonts w:ascii="Montserrat" w:hAnsi="Montserrat"/>
                <w:bCs/>
                <w:color w:val="000000"/>
                <w:sz w:val="18"/>
                <w:szCs w:val="18"/>
              </w:rPr>
            </w:pPr>
            <w:r w:rsidRPr="0034031B">
              <w:rPr>
                <w:rFonts w:ascii="Montserrat" w:hAnsi="Montserrat"/>
                <w:bCs/>
                <w:color w:val="000000"/>
                <w:sz w:val="18"/>
                <w:szCs w:val="18"/>
              </w:rPr>
              <w:t>2,706,961</w:t>
            </w:r>
          </w:p>
        </w:tc>
      </w:tr>
      <w:tr w:rsidR="00FF572A" w:rsidRPr="0034031B" w:rsidTr="003E15CE">
        <w:trPr>
          <w:cantSplit/>
          <w:jc w:val="center"/>
        </w:trPr>
        <w:tc>
          <w:tcPr>
            <w:tcW w:w="1923" w:type="pct"/>
            <w:shd w:val="clear" w:color="auto" w:fill="F2F2F2"/>
            <w:noWrap/>
            <w:vAlign w:val="center"/>
            <w:hideMark/>
          </w:tcPr>
          <w:p w:rsidR="00FF572A" w:rsidRPr="0034031B" w:rsidRDefault="00FF572A" w:rsidP="003E15CE">
            <w:pPr>
              <w:spacing w:before="20" w:after="20" w:line="240" w:lineRule="auto"/>
              <w:rPr>
                <w:rFonts w:ascii="Montserrat" w:hAnsi="Montserrat"/>
                <w:bCs/>
                <w:color w:val="000000"/>
                <w:sz w:val="18"/>
                <w:szCs w:val="18"/>
              </w:rPr>
            </w:pPr>
            <w:r w:rsidRPr="0034031B">
              <w:rPr>
                <w:rFonts w:ascii="Montserrat" w:hAnsi="Montserrat"/>
                <w:bCs/>
                <w:color w:val="000000"/>
                <w:sz w:val="18"/>
                <w:szCs w:val="18"/>
              </w:rPr>
              <w:t>Bancos Recursos de Terceros</w:t>
            </w:r>
          </w:p>
        </w:tc>
        <w:tc>
          <w:tcPr>
            <w:tcW w:w="1400" w:type="pct"/>
            <w:shd w:val="clear" w:color="auto" w:fill="F2F2F2"/>
            <w:noWrap/>
            <w:vAlign w:val="center"/>
          </w:tcPr>
          <w:p w:rsidR="00FF572A" w:rsidRPr="0034031B" w:rsidRDefault="00B70B9A" w:rsidP="001E0E59">
            <w:pPr>
              <w:spacing w:before="20" w:after="20" w:line="240" w:lineRule="auto"/>
              <w:jc w:val="right"/>
              <w:rPr>
                <w:rFonts w:ascii="Montserrat" w:hAnsi="Montserrat"/>
                <w:bCs/>
                <w:color w:val="000000"/>
                <w:sz w:val="18"/>
                <w:szCs w:val="18"/>
                <w:lang w:val="es-MX"/>
              </w:rPr>
            </w:pPr>
            <w:r>
              <w:rPr>
                <w:rFonts w:ascii="Montserrat" w:hAnsi="Montserrat"/>
                <w:bCs/>
                <w:color w:val="000000"/>
                <w:sz w:val="18"/>
                <w:szCs w:val="18"/>
                <w:lang w:val="es-MX"/>
              </w:rPr>
              <w:t>26,399,506</w:t>
            </w:r>
          </w:p>
        </w:tc>
        <w:tc>
          <w:tcPr>
            <w:tcW w:w="1676" w:type="pct"/>
            <w:shd w:val="clear" w:color="auto" w:fill="F2F2F2"/>
            <w:noWrap/>
            <w:vAlign w:val="center"/>
            <w:hideMark/>
          </w:tcPr>
          <w:p w:rsidR="00FF572A" w:rsidRPr="0034031B" w:rsidRDefault="00FF572A" w:rsidP="00FF572A">
            <w:pPr>
              <w:spacing w:before="20" w:after="20" w:line="240" w:lineRule="auto"/>
              <w:jc w:val="right"/>
              <w:rPr>
                <w:rFonts w:ascii="Montserrat" w:hAnsi="Montserrat"/>
                <w:bCs/>
                <w:color w:val="000000"/>
                <w:sz w:val="18"/>
                <w:szCs w:val="18"/>
                <w:lang w:val="es-MX"/>
              </w:rPr>
            </w:pPr>
            <w:r w:rsidRPr="0034031B">
              <w:rPr>
                <w:rFonts w:ascii="Montserrat" w:hAnsi="Montserrat"/>
                <w:bCs/>
                <w:color w:val="000000"/>
                <w:sz w:val="18"/>
                <w:szCs w:val="18"/>
              </w:rPr>
              <w:t>35,005,489</w:t>
            </w:r>
          </w:p>
        </w:tc>
      </w:tr>
    </w:tbl>
    <w:p w:rsidR="007A5850" w:rsidRPr="0034031B" w:rsidRDefault="007A5850" w:rsidP="007A5850">
      <w:pPr>
        <w:pStyle w:val="TEXTONORMAL"/>
      </w:pPr>
    </w:p>
    <w:p w:rsidR="007A5850" w:rsidRPr="0034031B" w:rsidRDefault="007A5850" w:rsidP="007A5850">
      <w:pPr>
        <w:pStyle w:val="TEXTONORMAL"/>
      </w:pPr>
      <w:r w:rsidRPr="0034031B">
        <w:t>Los recursos que se muestran se destinan para el pago de diversos conceptos derivados de la nómina, adquisición de bienes y servicios, así como para el desarrollo de los proyectos de investigación financiados por terceros.</w:t>
      </w:r>
    </w:p>
    <w:p w:rsidR="007A5850" w:rsidRPr="0034031B" w:rsidRDefault="007A5850" w:rsidP="007A5850">
      <w:pPr>
        <w:pStyle w:val="TEXTONORMAL"/>
        <w:jc w:val="center"/>
        <w:rPr>
          <w:b/>
        </w:rPr>
      </w:pPr>
    </w:p>
    <w:p w:rsidR="007A5850" w:rsidRPr="0034031B" w:rsidRDefault="007A5850" w:rsidP="007A5850">
      <w:pPr>
        <w:pStyle w:val="TEXTONORMAL"/>
        <w:jc w:val="center"/>
      </w:pPr>
      <w:r w:rsidRPr="0034031B">
        <w:rPr>
          <w:b/>
        </w:rPr>
        <w:t>1.2 Derechos a Recibir Efectivo y o Equivalentes o Servicios a Recibir</w:t>
      </w:r>
    </w:p>
    <w:p w:rsidR="007A5850" w:rsidRPr="0034031B" w:rsidRDefault="007A5850" w:rsidP="007A5850">
      <w:pPr>
        <w:pStyle w:val="TEXTONORMAL"/>
      </w:pPr>
      <w:r w:rsidRPr="0034031B">
        <w:t>Este rubro está integrado por la cuenta de deudores diversos y gastos a comprobar para viáticos y cuentas por cobrar.</w:t>
      </w:r>
    </w:p>
    <w:tbl>
      <w:tblPr>
        <w:tblW w:w="10118" w:type="dxa"/>
        <w:jc w:val="center"/>
        <w:tblInd w:w="234" w:type="dxa"/>
        <w:tblCellMar>
          <w:left w:w="70" w:type="dxa"/>
          <w:right w:w="70" w:type="dxa"/>
        </w:tblCellMar>
        <w:tblLook w:val="04A0" w:firstRow="1" w:lastRow="0" w:firstColumn="1" w:lastColumn="0" w:noHBand="0" w:noVBand="1"/>
      </w:tblPr>
      <w:tblGrid>
        <w:gridCol w:w="5543"/>
        <w:gridCol w:w="1437"/>
        <w:gridCol w:w="1018"/>
        <w:gridCol w:w="967"/>
        <w:gridCol w:w="1153"/>
      </w:tblGrid>
      <w:tr w:rsidR="007A5850" w:rsidRPr="001B59BF" w:rsidTr="00B40902">
        <w:trPr>
          <w:cantSplit/>
          <w:jc w:val="center"/>
        </w:trPr>
        <w:tc>
          <w:tcPr>
            <w:tcW w:w="2738" w:type="pct"/>
            <w:tcBorders>
              <w:top w:val="nil"/>
              <w:left w:val="nil"/>
              <w:bottom w:val="nil"/>
              <w:right w:val="single" w:sz="8" w:space="0" w:color="FFFFFF"/>
            </w:tcBorders>
            <w:shd w:val="clear" w:color="auto" w:fill="D4C19C"/>
            <w:vAlign w:val="center"/>
            <w:hideMark/>
          </w:tcPr>
          <w:p w:rsidR="007A5850" w:rsidRPr="0034031B" w:rsidRDefault="007A5850" w:rsidP="001E0E59">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CONCEPTO</w:t>
            </w:r>
          </w:p>
        </w:tc>
        <w:tc>
          <w:tcPr>
            <w:tcW w:w="710" w:type="pct"/>
            <w:tcBorders>
              <w:top w:val="nil"/>
              <w:left w:val="single" w:sz="8" w:space="0" w:color="FFFFFF"/>
              <w:bottom w:val="nil"/>
              <w:right w:val="single" w:sz="8" w:space="0" w:color="FFFFFF"/>
            </w:tcBorders>
            <w:shd w:val="clear" w:color="auto" w:fill="D4C19C"/>
            <w:vAlign w:val="center"/>
            <w:hideMark/>
          </w:tcPr>
          <w:p w:rsidR="007A5850" w:rsidRPr="0034031B" w:rsidRDefault="007A5850" w:rsidP="001E0E59">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90 DIAS</w:t>
            </w:r>
          </w:p>
        </w:tc>
        <w:tc>
          <w:tcPr>
            <w:tcW w:w="503" w:type="pct"/>
            <w:tcBorders>
              <w:top w:val="nil"/>
              <w:left w:val="single" w:sz="8" w:space="0" w:color="FFFFFF"/>
              <w:bottom w:val="nil"/>
              <w:right w:val="single" w:sz="8" w:space="0" w:color="FFFFFF"/>
            </w:tcBorders>
            <w:shd w:val="clear" w:color="auto" w:fill="D4C19C"/>
            <w:vAlign w:val="center"/>
            <w:hideMark/>
          </w:tcPr>
          <w:p w:rsidR="007A5850" w:rsidRPr="0034031B" w:rsidRDefault="007A5850" w:rsidP="001E0E59">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180 DIAS</w:t>
            </w:r>
          </w:p>
        </w:tc>
        <w:tc>
          <w:tcPr>
            <w:tcW w:w="478" w:type="pct"/>
            <w:tcBorders>
              <w:top w:val="nil"/>
              <w:left w:val="single" w:sz="8" w:space="0" w:color="FFFFFF"/>
              <w:bottom w:val="nil"/>
              <w:right w:val="single" w:sz="8" w:space="0" w:color="FFFFFF"/>
            </w:tcBorders>
            <w:shd w:val="clear" w:color="auto" w:fill="D4C19C"/>
            <w:hideMark/>
          </w:tcPr>
          <w:p w:rsidR="007A5850" w:rsidRPr="0034031B" w:rsidRDefault="007A5850" w:rsidP="001E0E59">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365 DIAS</w:t>
            </w:r>
          </w:p>
        </w:tc>
        <w:tc>
          <w:tcPr>
            <w:tcW w:w="570" w:type="pct"/>
            <w:tcBorders>
              <w:top w:val="nil"/>
              <w:left w:val="single" w:sz="8" w:space="0" w:color="FFFFFF"/>
              <w:bottom w:val="nil"/>
              <w:right w:val="single" w:sz="8" w:space="0" w:color="FFFFFF"/>
            </w:tcBorders>
            <w:shd w:val="clear" w:color="auto" w:fill="D4C19C"/>
            <w:hideMark/>
          </w:tcPr>
          <w:p w:rsidR="007A5850" w:rsidRPr="0034031B" w:rsidRDefault="007A5850" w:rsidP="001E0E59">
            <w:pPr>
              <w:spacing w:before="20" w:after="20" w:line="240" w:lineRule="auto"/>
              <w:jc w:val="center"/>
              <w:rPr>
                <w:rFonts w:ascii="Montserrat" w:hAnsi="Montserrat"/>
                <w:b/>
                <w:bCs/>
                <w:color w:val="FFFFFF"/>
                <w:sz w:val="18"/>
                <w:szCs w:val="18"/>
                <w:lang w:eastAsia="es-MX"/>
              </w:rPr>
            </w:pPr>
            <w:r w:rsidRPr="0034031B">
              <w:rPr>
                <w:rFonts w:ascii="Montserrat" w:hAnsi="Montserrat"/>
                <w:b/>
                <w:bCs/>
                <w:color w:val="FFFFFF"/>
                <w:sz w:val="18"/>
                <w:szCs w:val="18"/>
                <w:lang w:eastAsia="es-MX"/>
              </w:rPr>
              <w:t>TOTAL</w:t>
            </w:r>
          </w:p>
        </w:tc>
      </w:tr>
      <w:tr w:rsidR="007A5850" w:rsidRPr="001B59BF" w:rsidTr="00B40902">
        <w:trPr>
          <w:cantSplit/>
          <w:trHeight w:val="70"/>
          <w:jc w:val="center"/>
        </w:trPr>
        <w:tc>
          <w:tcPr>
            <w:tcW w:w="2738" w:type="pct"/>
            <w:tcBorders>
              <w:top w:val="nil"/>
              <w:left w:val="nil"/>
              <w:bottom w:val="double" w:sz="12" w:space="0" w:color="808080"/>
              <w:right w:val="nil"/>
            </w:tcBorders>
            <w:vAlign w:val="center"/>
          </w:tcPr>
          <w:p w:rsidR="007A5850" w:rsidRPr="0034031B" w:rsidRDefault="007A5850" w:rsidP="001E0E59">
            <w:pPr>
              <w:spacing w:after="0" w:line="40" w:lineRule="atLeast"/>
              <w:jc w:val="center"/>
              <w:rPr>
                <w:rFonts w:ascii="Montserrat" w:hAnsi="Montserrat"/>
                <w:b/>
                <w:bCs/>
                <w:sz w:val="18"/>
                <w:szCs w:val="18"/>
                <w:lang w:eastAsia="es-MX"/>
              </w:rPr>
            </w:pPr>
          </w:p>
        </w:tc>
        <w:tc>
          <w:tcPr>
            <w:tcW w:w="710" w:type="pct"/>
            <w:tcBorders>
              <w:top w:val="nil"/>
              <w:left w:val="nil"/>
              <w:bottom w:val="double" w:sz="12" w:space="0" w:color="808080"/>
              <w:right w:val="nil"/>
            </w:tcBorders>
            <w:vAlign w:val="center"/>
            <w:hideMark/>
          </w:tcPr>
          <w:p w:rsidR="007A5850" w:rsidRPr="0034031B" w:rsidRDefault="007A5850" w:rsidP="001E0E59">
            <w:pPr>
              <w:spacing w:after="0" w:line="40" w:lineRule="atLeast"/>
              <w:jc w:val="center"/>
              <w:rPr>
                <w:rFonts w:ascii="Montserrat" w:hAnsi="Montserrat"/>
                <w:b/>
                <w:bCs/>
                <w:sz w:val="18"/>
                <w:szCs w:val="18"/>
                <w:lang w:eastAsia="es-MX"/>
              </w:rPr>
            </w:pPr>
            <w:r w:rsidRPr="0034031B">
              <w:rPr>
                <w:rFonts w:ascii="Montserrat" w:hAnsi="Montserrat"/>
                <w:b/>
                <w:bCs/>
                <w:sz w:val="18"/>
                <w:szCs w:val="18"/>
                <w:lang w:eastAsia="es-MX"/>
              </w:rPr>
              <w:t>3,</w:t>
            </w:r>
          </w:p>
        </w:tc>
        <w:tc>
          <w:tcPr>
            <w:tcW w:w="503" w:type="pct"/>
            <w:tcBorders>
              <w:top w:val="nil"/>
              <w:left w:val="nil"/>
              <w:bottom w:val="double" w:sz="12" w:space="0" w:color="808080"/>
              <w:right w:val="nil"/>
            </w:tcBorders>
            <w:vAlign w:val="center"/>
          </w:tcPr>
          <w:p w:rsidR="007A5850" w:rsidRPr="0034031B" w:rsidRDefault="007A5850" w:rsidP="001E0E59">
            <w:pPr>
              <w:spacing w:after="0" w:line="40" w:lineRule="atLeast"/>
              <w:jc w:val="center"/>
              <w:rPr>
                <w:rFonts w:ascii="Montserrat" w:hAnsi="Montserrat"/>
                <w:b/>
                <w:bCs/>
                <w:sz w:val="18"/>
                <w:szCs w:val="18"/>
                <w:lang w:eastAsia="es-MX"/>
              </w:rPr>
            </w:pPr>
          </w:p>
        </w:tc>
        <w:tc>
          <w:tcPr>
            <w:tcW w:w="478" w:type="pct"/>
            <w:tcBorders>
              <w:top w:val="nil"/>
              <w:left w:val="nil"/>
              <w:bottom w:val="double" w:sz="12" w:space="0" w:color="808080"/>
              <w:right w:val="nil"/>
            </w:tcBorders>
          </w:tcPr>
          <w:p w:rsidR="007A5850" w:rsidRPr="0034031B" w:rsidRDefault="007A5850" w:rsidP="001E0E59">
            <w:pPr>
              <w:spacing w:after="0" w:line="40" w:lineRule="atLeast"/>
              <w:jc w:val="center"/>
              <w:rPr>
                <w:rFonts w:ascii="Montserrat" w:hAnsi="Montserrat"/>
                <w:b/>
                <w:bCs/>
                <w:sz w:val="18"/>
                <w:szCs w:val="18"/>
                <w:lang w:eastAsia="es-MX"/>
              </w:rPr>
            </w:pPr>
          </w:p>
        </w:tc>
        <w:tc>
          <w:tcPr>
            <w:tcW w:w="570" w:type="pct"/>
            <w:tcBorders>
              <w:top w:val="nil"/>
              <w:left w:val="nil"/>
              <w:bottom w:val="double" w:sz="12" w:space="0" w:color="808080"/>
              <w:right w:val="nil"/>
            </w:tcBorders>
          </w:tcPr>
          <w:p w:rsidR="007A5850" w:rsidRPr="0034031B" w:rsidRDefault="007A5850" w:rsidP="001E0E59">
            <w:pPr>
              <w:spacing w:after="0" w:line="40" w:lineRule="atLeast"/>
              <w:jc w:val="center"/>
              <w:rPr>
                <w:rFonts w:ascii="Montserrat" w:hAnsi="Montserrat"/>
                <w:b/>
                <w:bCs/>
                <w:sz w:val="18"/>
                <w:szCs w:val="18"/>
                <w:lang w:eastAsia="es-MX"/>
              </w:rPr>
            </w:pPr>
          </w:p>
        </w:tc>
      </w:tr>
      <w:tr w:rsidR="007A5850" w:rsidRPr="001B59BF" w:rsidTr="00B40902">
        <w:trPr>
          <w:cantSplit/>
          <w:jc w:val="center"/>
        </w:trPr>
        <w:tc>
          <w:tcPr>
            <w:tcW w:w="2738" w:type="pct"/>
            <w:tcBorders>
              <w:top w:val="double" w:sz="12" w:space="0" w:color="808080"/>
              <w:left w:val="nil"/>
              <w:bottom w:val="nil"/>
              <w:right w:val="nil"/>
            </w:tcBorders>
            <w:shd w:val="clear" w:color="auto" w:fill="F2F2F2"/>
            <w:noWrap/>
            <w:vAlign w:val="center"/>
            <w:hideMark/>
          </w:tcPr>
          <w:p w:rsidR="007A5850" w:rsidRPr="0034031B" w:rsidRDefault="007A5850" w:rsidP="001E0E59">
            <w:pPr>
              <w:spacing w:before="20" w:after="20" w:line="240" w:lineRule="auto"/>
              <w:rPr>
                <w:rFonts w:ascii="Montserrat" w:hAnsi="Montserrat"/>
                <w:b/>
                <w:bCs/>
                <w:color w:val="000000"/>
                <w:sz w:val="18"/>
                <w:szCs w:val="18"/>
              </w:rPr>
            </w:pPr>
            <w:r w:rsidRPr="0034031B">
              <w:rPr>
                <w:rFonts w:ascii="Montserrat" w:hAnsi="Montserrat"/>
                <w:b/>
                <w:bCs/>
                <w:color w:val="000000"/>
                <w:sz w:val="18"/>
                <w:szCs w:val="18"/>
              </w:rPr>
              <w:t>TOTAL</w:t>
            </w:r>
          </w:p>
        </w:tc>
        <w:tc>
          <w:tcPr>
            <w:tcW w:w="710" w:type="pct"/>
            <w:tcBorders>
              <w:top w:val="double" w:sz="12" w:space="0" w:color="808080"/>
              <w:left w:val="nil"/>
              <w:bottom w:val="nil"/>
              <w:right w:val="nil"/>
            </w:tcBorders>
            <w:shd w:val="clear" w:color="auto" w:fill="F2F2F2"/>
            <w:vAlign w:val="center"/>
          </w:tcPr>
          <w:p w:rsidR="007A5850" w:rsidRPr="0034031B" w:rsidRDefault="00B40902" w:rsidP="001E0E59">
            <w:pPr>
              <w:spacing w:before="20" w:after="20" w:line="240" w:lineRule="auto"/>
              <w:jc w:val="right"/>
              <w:rPr>
                <w:rFonts w:ascii="Montserrat" w:hAnsi="Montserrat"/>
                <w:b/>
                <w:bCs/>
                <w:color w:val="000000"/>
                <w:sz w:val="18"/>
                <w:szCs w:val="18"/>
              </w:rPr>
            </w:pPr>
            <w:r w:rsidRPr="00B40902">
              <w:rPr>
                <w:rFonts w:ascii="Montserrat" w:hAnsi="Montserrat"/>
                <w:b/>
                <w:bCs/>
                <w:color w:val="000000"/>
                <w:sz w:val="18"/>
                <w:szCs w:val="18"/>
              </w:rPr>
              <w:t>4,289,288.00</w:t>
            </w:r>
          </w:p>
        </w:tc>
        <w:tc>
          <w:tcPr>
            <w:tcW w:w="503" w:type="pct"/>
            <w:tcBorders>
              <w:top w:val="double" w:sz="12" w:space="0" w:color="808080"/>
              <w:left w:val="nil"/>
              <w:bottom w:val="nil"/>
              <w:right w:val="nil"/>
            </w:tcBorders>
            <w:shd w:val="clear" w:color="auto" w:fill="F2F2F2"/>
            <w:vAlign w:val="center"/>
            <w:hideMark/>
          </w:tcPr>
          <w:p w:rsidR="007A5850" w:rsidRPr="0034031B" w:rsidRDefault="007A5850" w:rsidP="001E0E59">
            <w:pPr>
              <w:spacing w:before="20" w:after="20" w:line="240" w:lineRule="auto"/>
              <w:jc w:val="right"/>
              <w:rPr>
                <w:rFonts w:ascii="Montserrat" w:hAnsi="Montserrat"/>
                <w:b/>
                <w:bCs/>
                <w:color w:val="000000"/>
                <w:sz w:val="18"/>
                <w:szCs w:val="18"/>
              </w:rPr>
            </w:pPr>
            <w:r w:rsidRPr="0034031B">
              <w:rPr>
                <w:rFonts w:ascii="Montserrat" w:hAnsi="Montserrat"/>
                <w:b/>
                <w:bCs/>
                <w:color w:val="000000"/>
                <w:sz w:val="18"/>
                <w:szCs w:val="18"/>
              </w:rPr>
              <w:t>0</w:t>
            </w:r>
          </w:p>
        </w:tc>
        <w:tc>
          <w:tcPr>
            <w:tcW w:w="478" w:type="pct"/>
            <w:tcBorders>
              <w:top w:val="double" w:sz="12" w:space="0" w:color="808080"/>
              <w:left w:val="nil"/>
              <w:bottom w:val="nil"/>
              <w:right w:val="nil"/>
            </w:tcBorders>
            <w:shd w:val="clear" w:color="auto" w:fill="F2F2F2"/>
            <w:hideMark/>
          </w:tcPr>
          <w:p w:rsidR="007A5850" w:rsidRPr="0034031B" w:rsidRDefault="00B91FBF"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32,778</w:t>
            </w:r>
          </w:p>
        </w:tc>
        <w:tc>
          <w:tcPr>
            <w:tcW w:w="570" w:type="pct"/>
            <w:tcBorders>
              <w:top w:val="double" w:sz="12" w:space="0" w:color="808080"/>
              <w:left w:val="nil"/>
              <w:bottom w:val="nil"/>
              <w:right w:val="nil"/>
            </w:tcBorders>
            <w:shd w:val="clear" w:color="auto" w:fill="F2F2F2"/>
            <w:hideMark/>
          </w:tcPr>
          <w:p w:rsidR="007A5850" w:rsidRPr="0034031B" w:rsidRDefault="00B40902"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4,322,066</w:t>
            </w:r>
          </w:p>
        </w:tc>
      </w:tr>
      <w:tr w:rsidR="00B40902" w:rsidRPr="001B59BF" w:rsidTr="00B40902">
        <w:trPr>
          <w:cantSplit/>
          <w:jc w:val="center"/>
        </w:trPr>
        <w:tc>
          <w:tcPr>
            <w:tcW w:w="2738" w:type="pct"/>
            <w:shd w:val="clear" w:color="auto" w:fill="F2F2F2"/>
            <w:noWrap/>
            <w:hideMark/>
          </w:tcPr>
          <w:p w:rsidR="00B40902" w:rsidRPr="0034031B" w:rsidRDefault="00B40902" w:rsidP="001E0E59">
            <w:pPr>
              <w:spacing w:before="20" w:after="20" w:line="240" w:lineRule="auto"/>
              <w:rPr>
                <w:rFonts w:ascii="Montserrat" w:hAnsi="Montserrat"/>
                <w:bCs/>
                <w:color w:val="000000"/>
                <w:sz w:val="18"/>
                <w:szCs w:val="18"/>
              </w:rPr>
            </w:pPr>
            <w:proofErr w:type="spellStart"/>
            <w:r>
              <w:rPr>
                <w:rFonts w:ascii="Montserrat" w:hAnsi="Montserrat"/>
                <w:bCs/>
                <w:color w:val="000000"/>
                <w:sz w:val="18"/>
                <w:szCs w:val="18"/>
              </w:rPr>
              <w:t>onsejo</w:t>
            </w:r>
            <w:proofErr w:type="spellEnd"/>
            <w:r>
              <w:rPr>
                <w:rFonts w:ascii="Montserrat" w:hAnsi="Montserrat"/>
                <w:bCs/>
                <w:color w:val="000000"/>
                <w:sz w:val="18"/>
                <w:szCs w:val="18"/>
              </w:rPr>
              <w:t xml:space="preserve"> Nacional de Ciencia y Tecnología</w:t>
            </w:r>
            <w:r w:rsidRPr="0034031B">
              <w:rPr>
                <w:rFonts w:ascii="Montserrat" w:hAnsi="Montserrat"/>
                <w:bCs/>
                <w:color w:val="000000"/>
                <w:sz w:val="18"/>
                <w:szCs w:val="18"/>
              </w:rPr>
              <w:t xml:space="preserve"> </w:t>
            </w:r>
          </w:p>
        </w:tc>
        <w:tc>
          <w:tcPr>
            <w:tcW w:w="710"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2,174,600</w:t>
            </w:r>
          </w:p>
        </w:tc>
        <w:tc>
          <w:tcPr>
            <w:tcW w:w="503"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0</w:t>
            </w:r>
          </w:p>
        </w:tc>
        <w:tc>
          <w:tcPr>
            <w:tcW w:w="478" w:type="pct"/>
            <w:shd w:val="clear" w:color="auto" w:fill="F2F2F2"/>
          </w:tcPr>
          <w:p w:rsidR="00B40902" w:rsidRPr="0034031B" w:rsidRDefault="00B40902" w:rsidP="001E0E59">
            <w:pPr>
              <w:spacing w:before="20" w:after="20" w:line="240" w:lineRule="auto"/>
              <w:jc w:val="right"/>
              <w:rPr>
                <w:rFonts w:ascii="Montserrat" w:hAnsi="Montserrat"/>
                <w:bCs/>
                <w:color w:val="000000"/>
                <w:sz w:val="18"/>
                <w:szCs w:val="18"/>
              </w:rPr>
            </w:pPr>
          </w:p>
        </w:tc>
        <w:tc>
          <w:tcPr>
            <w:tcW w:w="570" w:type="pct"/>
            <w:shd w:val="clear" w:color="auto" w:fill="F2F2F2"/>
            <w:vAlign w:val="center"/>
          </w:tcPr>
          <w:p w:rsidR="00B40902" w:rsidRPr="0034031B" w:rsidRDefault="00B40902"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2,174,600</w:t>
            </w:r>
          </w:p>
        </w:tc>
      </w:tr>
      <w:tr w:rsidR="00B40902" w:rsidRPr="001B59BF" w:rsidTr="00B40902">
        <w:trPr>
          <w:cantSplit/>
          <w:jc w:val="center"/>
        </w:trPr>
        <w:tc>
          <w:tcPr>
            <w:tcW w:w="2738" w:type="pct"/>
            <w:shd w:val="clear" w:color="auto" w:fill="F2F2F2"/>
            <w:noWrap/>
            <w:vAlign w:val="bottom"/>
          </w:tcPr>
          <w:p w:rsidR="00B40902" w:rsidRPr="0034031B" w:rsidRDefault="00B40902" w:rsidP="001E0E59">
            <w:pPr>
              <w:spacing w:before="20" w:after="20" w:line="240" w:lineRule="auto"/>
              <w:rPr>
                <w:rFonts w:ascii="Montserrat" w:hAnsi="Montserrat"/>
                <w:bCs/>
                <w:color w:val="000000"/>
                <w:sz w:val="18"/>
                <w:szCs w:val="18"/>
              </w:rPr>
            </w:pPr>
            <w:r>
              <w:rPr>
                <w:rFonts w:ascii="Montserrat" w:hAnsi="Montserrat"/>
                <w:bCs/>
                <w:color w:val="000000"/>
                <w:sz w:val="18"/>
                <w:szCs w:val="18"/>
              </w:rPr>
              <w:t xml:space="preserve">Grupo </w:t>
            </w:r>
            <w:proofErr w:type="spellStart"/>
            <w:r>
              <w:rPr>
                <w:rFonts w:ascii="Montserrat" w:hAnsi="Montserrat"/>
                <w:bCs/>
                <w:color w:val="000000"/>
                <w:sz w:val="18"/>
                <w:szCs w:val="18"/>
              </w:rPr>
              <w:t>Givaudan</w:t>
            </w:r>
            <w:proofErr w:type="spellEnd"/>
            <w:r>
              <w:rPr>
                <w:rFonts w:ascii="Montserrat" w:hAnsi="Montserrat"/>
                <w:bCs/>
                <w:color w:val="000000"/>
                <w:sz w:val="18"/>
                <w:szCs w:val="18"/>
              </w:rPr>
              <w:t xml:space="preserve"> SA de CV</w:t>
            </w:r>
          </w:p>
        </w:tc>
        <w:tc>
          <w:tcPr>
            <w:tcW w:w="710"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488,496</w:t>
            </w:r>
          </w:p>
        </w:tc>
        <w:tc>
          <w:tcPr>
            <w:tcW w:w="503"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sidRPr="0034031B">
              <w:rPr>
                <w:rFonts w:ascii="Montserrat" w:hAnsi="Montserrat"/>
                <w:bCs/>
                <w:color w:val="000000"/>
                <w:sz w:val="18"/>
                <w:szCs w:val="18"/>
              </w:rPr>
              <w:t>0</w:t>
            </w:r>
          </w:p>
        </w:tc>
        <w:tc>
          <w:tcPr>
            <w:tcW w:w="478" w:type="pct"/>
            <w:shd w:val="clear" w:color="auto" w:fill="F2F2F2"/>
          </w:tcPr>
          <w:p w:rsidR="00B40902" w:rsidRPr="0034031B" w:rsidRDefault="00B40902" w:rsidP="001E0E59">
            <w:pPr>
              <w:spacing w:before="20" w:after="20" w:line="240" w:lineRule="auto"/>
              <w:jc w:val="right"/>
              <w:rPr>
                <w:rFonts w:ascii="Montserrat" w:hAnsi="Montserrat"/>
                <w:bCs/>
                <w:color w:val="000000"/>
                <w:sz w:val="18"/>
                <w:szCs w:val="18"/>
              </w:rPr>
            </w:pPr>
          </w:p>
        </w:tc>
        <w:tc>
          <w:tcPr>
            <w:tcW w:w="570" w:type="pct"/>
            <w:shd w:val="clear" w:color="auto" w:fill="F2F2F2"/>
            <w:vAlign w:val="center"/>
          </w:tcPr>
          <w:p w:rsidR="00B40902" w:rsidRPr="0034031B" w:rsidRDefault="00B40902"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488,496</w:t>
            </w:r>
          </w:p>
        </w:tc>
      </w:tr>
      <w:tr w:rsidR="00B40902" w:rsidRPr="001B59BF" w:rsidTr="00B40902">
        <w:trPr>
          <w:cantSplit/>
          <w:jc w:val="center"/>
        </w:trPr>
        <w:tc>
          <w:tcPr>
            <w:tcW w:w="2738" w:type="pct"/>
            <w:shd w:val="clear" w:color="auto" w:fill="F2F2F2"/>
            <w:noWrap/>
            <w:vAlign w:val="bottom"/>
          </w:tcPr>
          <w:p w:rsidR="00B40902" w:rsidRPr="0034031B" w:rsidRDefault="00B40902" w:rsidP="001E0E59">
            <w:pPr>
              <w:spacing w:before="20" w:after="20" w:line="240" w:lineRule="auto"/>
              <w:rPr>
                <w:rFonts w:ascii="Montserrat" w:hAnsi="Montserrat"/>
                <w:bCs/>
                <w:color w:val="000000"/>
                <w:sz w:val="18"/>
                <w:szCs w:val="18"/>
              </w:rPr>
            </w:pPr>
            <w:proofErr w:type="spellStart"/>
            <w:r>
              <w:rPr>
                <w:rFonts w:ascii="Montserrat" w:hAnsi="Montserrat"/>
                <w:bCs/>
                <w:color w:val="000000"/>
                <w:sz w:val="18"/>
                <w:szCs w:val="18"/>
              </w:rPr>
              <w:t>Friesland</w:t>
            </w:r>
            <w:proofErr w:type="spellEnd"/>
            <w:r>
              <w:rPr>
                <w:rFonts w:ascii="Montserrat" w:hAnsi="Montserrat"/>
                <w:bCs/>
                <w:color w:val="000000"/>
                <w:sz w:val="18"/>
                <w:szCs w:val="18"/>
              </w:rPr>
              <w:t xml:space="preserve"> </w:t>
            </w:r>
            <w:proofErr w:type="spellStart"/>
            <w:r>
              <w:rPr>
                <w:rFonts w:ascii="Montserrat" w:hAnsi="Montserrat"/>
                <w:bCs/>
                <w:color w:val="000000"/>
                <w:sz w:val="18"/>
                <w:szCs w:val="18"/>
              </w:rPr>
              <w:t>Campina</w:t>
            </w:r>
            <w:proofErr w:type="spellEnd"/>
            <w:r>
              <w:rPr>
                <w:rFonts w:ascii="Montserrat" w:hAnsi="Montserrat"/>
                <w:bCs/>
                <w:color w:val="000000"/>
                <w:sz w:val="18"/>
                <w:szCs w:val="18"/>
              </w:rPr>
              <w:t xml:space="preserve"> </w:t>
            </w:r>
            <w:proofErr w:type="spellStart"/>
            <w:r>
              <w:rPr>
                <w:rFonts w:ascii="Montserrat" w:hAnsi="Montserrat"/>
                <w:bCs/>
                <w:color w:val="000000"/>
                <w:sz w:val="18"/>
                <w:szCs w:val="18"/>
              </w:rPr>
              <w:t>Innov</w:t>
            </w:r>
            <w:proofErr w:type="spellEnd"/>
            <w:r>
              <w:rPr>
                <w:rFonts w:ascii="Montserrat" w:hAnsi="Montserrat"/>
                <w:bCs/>
                <w:color w:val="000000"/>
                <w:sz w:val="18"/>
                <w:szCs w:val="18"/>
              </w:rPr>
              <w:t xml:space="preserve"> Center</w:t>
            </w:r>
            <w:r w:rsidRPr="0034031B">
              <w:rPr>
                <w:rFonts w:ascii="Montserrat" w:hAnsi="Montserrat"/>
                <w:bCs/>
                <w:color w:val="000000"/>
                <w:sz w:val="18"/>
                <w:szCs w:val="18"/>
              </w:rPr>
              <w:t xml:space="preserve"> </w:t>
            </w:r>
          </w:p>
        </w:tc>
        <w:tc>
          <w:tcPr>
            <w:tcW w:w="710" w:type="pct"/>
            <w:shd w:val="clear" w:color="auto" w:fill="F2F2F2"/>
            <w:noWrap/>
            <w:vAlign w:val="center"/>
          </w:tcPr>
          <w:p w:rsidR="00B40902" w:rsidRPr="0034031B" w:rsidRDefault="00B40902" w:rsidP="0035463F">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292,721</w:t>
            </w:r>
          </w:p>
        </w:tc>
        <w:tc>
          <w:tcPr>
            <w:tcW w:w="503"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sidRPr="0034031B">
              <w:rPr>
                <w:rFonts w:ascii="Montserrat" w:hAnsi="Montserrat"/>
                <w:bCs/>
                <w:color w:val="000000"/>
                <w:sz w:val="18"/>
                <w:szCs w:val="18"/>
              </w:rPr>
              <w:t>0</w:t>
            </w:r>
          </w:p>
        </w:tc>
        <w:tc>
          <w:tcPr>
            <w:tcW w:w="478" w:type="pct"/>
            <w:shd w:val="clear" w:color="auto" w:fill="F2F2F2"/>
          </w:tcPr>
          <w:p w:rsidR="00B40902" w:rsidRPr="0034031B" w:rsidRDefault="00B40902" w:rsidP="001E0E59">
            <w:pPr>
              <w:spacing w:before="20" w:after="20" w:line="240" w:lineRule="auto"/>
              <w:jc w:val="right"/>
              <w:rPr>
                <w:rFonts w:ascii="Montserrat" w:hAnsi="Montserrat"/>
                <w:bCs/>
                <w:color w:val="000000"/>
                <w:sz w:val="18"/>
                <w:szCs w:val="18"/>
              </w:rPr>
            </w:pPr>
          </w:p>
        </w:tc>
        <w:tc>
          <w:tcPr>
            <w:tcW w:w="570" w:type="pct"/>
            <w:shd w:val="clear" w:color="auto" w:fill="F2F2F2"/>
            <w:vAlign w:val="center"/>
          </w:tcPr>
          <w:p w:rsidR="00B40902" w:rsidRPr="0034031B" w:rsidRDefault="00B40902"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292,721</w:t>
            </w:r>
          </w:p>
        </w:tc>
      </w:tr>
      <w:tr w:rsidR="00B40902" w:rsidRPr="001B59BF" w:rsidTr="00B40902">
        <w:trPr>
          <w:cantSplit/>
          <w:jc w:val="center"/>
        </w:trPr>
        <w:tc>
          <w:tcPr>
            <w:tcW w:w="2738" w:type="pct"/>
            <w:shd w:val="clear" w:color="auto" w:fill="F2F2F2"/>
            <w:noWrap/>
            <w:vAlign w:val="bottom"/>
          </w:tcPr>
          <w:p w:rsidR="00B40902" w:rsidRPr="0034031B" w:rsidRDefault="00B40902" w:rsidP="001E0E59">
            <w:pPr>
              <w:spacing w:before="20" w:after="20" w:line="240" w:lineRule="auto"/>
              <w:rPr>
                <w:rFonts w:ascii="Arial" w:hAnsi="Arial" w:cs="Arial"/>
                <w:sz w:val="18"/>
                <w:szCs w:val="18"/>
              </w:rPr>
            </w:pPr>
            <w:r>
              <w:rPr>
                <w:rFonts w:ascii="Montserrat" w:hAnsi="Montserrat"/>
                <w:bCs/>
                <w:color w:val="000000"/>
                <w:sz w:val="18"/>
                <w:szCs w:val="18"/>
              </w:rPr>
              <w:t>Secretaria del Medio Ambiente y Recursos Naturales</w:t>
            </w:r>
          </w:p>
        </w:tc>
        <w:tc>
          <w:tcPr>
            <w:tcW w:w="710"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196,144</w:t>
            </w:r>
          </w:p>
        </w:tc>
        <w:tc>
          <w:tcPr>
            <w:tcW w:w="503"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r w:rsidRPr="0034031B">
              <w:rPr>
                <w:rFonts w:ascii="Montserrat" w:hAnsi="Montserrat"/>
                <w:bCs/>
                <w:color w:val="000000"/>
                <w:sz w:val="18"/>
                <w:szCs w:val="18"/>
              </w:rPr>
              <w:t>0</w:t>
            </w:r>
          </w:p>
        </w:tc>
        <w:tc>
          <w:tcPr>
            <w:tcW w:w="478" w:type="pct"/>
            <w:shd w:val="clear" w:color="auto" w:fill="F2F2F2"/>
          </w:tcPr>
          <w:p w:rsidR="00B40902" w:rsidRPr="0034031B" w:rsidRDefault="00B40902" w:rsidP="001E0E59">
            <w:pPr>
              <w:spacing w:before="20" w:after="20" w:line="240" w:lineRule="auto"/>
              <w:jc w:val="right"/>
              <w:rPr>
                <w:rFonts w:ascii="Montserrat" w:hAnsi="Montserrat"/>
                <w:bCs/>
                <w:color w:val="000000"/>
                <w:sz w:val="18"/>
                <w:szCs w:val="18"/>
              </w:rPr>
            </w:pPr>
          </w:p>
        </w:tc>
        <w:tc>
          <w:tcPr>
            <w:tcW w:w="570" w:type="pct"/>
            <w:shd w:val="clear" w:color="auto" w:fill="F2F2F2"/>
            <w:vAlign w:val="center"/>
          </w:tcPr>
          <w:p w:rsidR="00B40902" w:rsidRPr="0034031B" w:rsidRDefault="00B40902"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196,144</w:t>
            </w:r>
          </w:p>
        </w:tc>
      </w:tr>
      <w:tr w:rsidR="00B40902" w:rsidRPr="001B59BF" w:rsidTr="00B40902">
        <w:trPr>
          <w:cantSplit/>
          <w:jc w:val="center"/>
        </w:trPr>
        <w:tc>
          <w:tcPr>
            <w:tcW w:w="2738" w:type="pct"/>
            <w:shd w:val="clear" w:color="auto" w:fill="F2F2F2"/>
            <w:noWrap/>
            <w:hideMark/>
          </w:tcPr>
          <w:p w:rsidR="00B40902" w:rsidRDefault="00B40902" w:rsidP="001E0E59">
            <w:pPr>
              <w:spacing w:before="20" w:after="20" w:line="240" w:lineRule="auto"/>
              <w:rPr>
                <w:rFonts w:ascii="Montserrat" w:hAnsi="Montserrat"/>
                <w:bCs/>
                <w:color w:val="000000"/>
                <w:sz w:val="18"/>
                <w:szCs w:val="18"/>
              </w:rPr>
            </w:pPr>
            <w:proofErr w:type="spellStart"/>
            <w:r>
              <w:rPr>
                <w:rFonts w:ascii="Montserrat" w:hAnsi="Montserrat"/>
                <w:bCs/>
                <w:color w:val="000000"/>
                <w:sz w:val="18"/>
                <w:szCs w:val="18"/>
              </w:rPr>
              <w:lastRenderedPageBreak/>
              <w:t>Tane</w:t>
            </w:r>
            <w:proofErr w:type="spellEnd"/>
            <w:r>
              <w:rPr>
                <w:rFonts w:ascii="Montserrat" w:hAnsi="Montserrat"/>
                <w:bCs/>
                <w:color w:val="000000"/>
                <w:sz w:val="18"/>
                <w:szCs w:val="18"/>
              </w:rPr>
              <w:t xml:space="preserve"> SA de CV</w:t>
            </w:r>
          </w:p>
          <w:p w:rsidR="00B40902" w:rsidRPr="0034031B" w:rsidRDefault="00B40902" w:rsidP="001E0E59">
            <w:pPr>
              <w:spacing w:before="20" w:after="20" w:line="240" w:lineRule="auto"/>
              <w:rPr>
                <w:rFonts w:ascii="Montserrat" w:hAnsi="Montserrat"/>
                <w:bCs/>
                <w:color w:val="000000"/>
                <w:sz w:val="18"/>
                <w:szCs w:val="18"/>
              </w:rPr>
            </w:pPr>
            <w:r>
              <w:rPr>
                <w:rFonts w:ascii="Montserrat" w:hAnsi="Montserrat"/>
                <w:bCs/>
                <w:color w:val="000000"/>
                <w:sz w:val="18"/>
                <w:szCs w:val="18"/>
              </w:rPr>
              <w:t xml:space="preserve">Jesús Emmanuel </w:t>
            </w:r>
            <w:proofErr w:type="spellStart"/>
            <w:r>
              <w:rPr>
                <w:rFonts w:ascii="Montserrat" w:hAnsi="Montserrat"/>
                <w:bCs/>
                <w:color w:val="000000"/>
                <w:sz w:val="18"/>
                <w:szCs w:val="18"/>
              </w:rPr>
              <w:t>Frias</w:t>
            </w:r>
            <w:proofErr w:type="spellEnd"/>
            <w:r>
              <w:rPr>
                <w:rFonts w:ascii="Montserrat" w:hAnsi="Montserrat"/>
                <w:bCs/>
                <w:color w:val="000000"/>
                <w:sz w:val="18"/>
                <w:szCs w:val="18"/>
              </w:rPr>
              <w:t xml:space="preserve"> Jiménez</w:t>
            </w:r>
          </w:p>
        </w:tc>
        <w:tc>
          <w:tcPr>
            <w:tcW w:w="710" w:type="pct"/>
            <w:shd w:val="clear" w:color="auto" w:fill="F2F2F2"/>
            <w:noWrap/>
            <w:vAlign w:val="center"/>
          </w:tcPr>
          <w:p w:rsidR="00B40902"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166,927</w:t>
            </w:r>
          </w:p>
          <w:p w:rsidR="00B40902"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130,152</w:t>
            </w:r>
          </w:p>
        </w:tc>
        <w:tc>
          <w:tcPr>
            <w:tcW w:w="503" w:type="pct"/>
            <w:shd w:val="clear" w:color="auto" w:fill="F2F2F2"/>
            <w:noWrap/>
            <w:vAlign w:val="center"/>
          </w:tcPr>
          <w:p w:rsidR="00B40902" w:rsidRPr="0034031B" w:rsidRDefault="00B40902" w:rsidP="001E0E59">
            <w:pPr>
              <w:spacing w:before="20" w:after="20" w:line="240" w:lineRule="auto"/>
              <w:jc w:val="right"/>
              <w:rPr>
                <w:rFonts w:ascii="Montserrat" w:hAnsi="Montserrat"/>
                <w:bCs/>
                <w:color w:val="000000"/>
                <w:sz w:val="18"/>
                <w:szCs w:val="18"/>
              </w:rPr>
            </w:pPr>
          </w:p>
        </w:tc>
        <w:tc>
          <w:tcPr>
            <w:tcW w:w="478" w:type="pct"/>
            <w:shd w:val="clear" w:color="auto" w:fill="F2F2F2"/>
          </w:tcPr>
          <w:p w:rsidR="00B40902" w:rsidRPr="0034031B" w:rsidRDefault="00B40902" w:rsidP="001E0E59">
            <w:pPr>
              <w:spacing w:before="20" w:after="20" w:line="240" w:lineRule="auto"/>
              <w:jc w:val="right"/>
              <w:rPr>
                <w:rFonts w:ascii="Montserrat" w:hAnsi="Montserrat"/>
                <w:bCs/>
                <w:color w:val="000000"/>
                <w:sz w:val="18"/>
                <w:szCs w:val="18"/>
              </w:rPr>
            </w:pPr>
          </w:p>
        </w:tc>
        <w:tc>
          <w:tcPr>
            <w:tcW w:w="570" w:type="pct"/>
            <w:shd w:val="clear" w:color="auto" w:fill="F2F2F2"/>
            <w:vAlign w:val="center"/>
          </w:tcPr>
          <w:p w:rsidR="00B40902" w:rsidRDefault="00B40902"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166,927</w:t>
            </w:r>
          </w:p>
          <w:p w:rsidR="00B40902" w:rsidRPr="0034031B" w:rsidRDefault="00B40902"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130,152</w:t>
            </w:r>
          </w:p>
        </w:tc>
      </w:tr>
      <w:tr w:rsidR="007A5850" w:rsidRPr="001B59BF" w:rsidTr="00B40902">
        <w:trPr>
          <w:cantSplit/>
          <w:jc w:val="center"/>
        </w:trPr>
        <w:tc>
          <w:tcPr>
            <w:tcW w:w="2738" w:type="pct"/>
            <w:shd w:val="clear" w:color="auto" w:fill="F2F2F2"/>
            <w:noWrap/>
            <w:vAlign w:val="center"/>
            <w:hideMark/>
          </w:tcPr>
          <w:p w:rsidR="007A5850" w:rsidRPr="0034031B" w:rsidRDefault="007A5850" w:rsidP="001E0E59">
            <w:pPr>
              <w:spacing w:before="20" w:after="20" w:line="240" w:lineRule="auto"/>
              <w:rPr>
                <w:rFonts w:ascii="Montserrat" w:hAnsi="Montserrat"/>
                <w:bCs/>
                <w:color w:val="000000"/>
                <w:sz w:val="18"/>
                <w:szCs w:val="18"/>
              </w:rPr>
            </w:pPr>
            <w:r w:rsidRPr="0034031B">
              <w:rPr>
                <w:rFonts w:ascii="Montserrat" w:hAnsi="Montserrat"/>
                <w:bCs/>
                <w:color w:val="000000"/>
                <w:sz w:val="18"/>
                <w:szCs w:val="18"/>
              </w:rPr>
              <w:t>Otros</w:t>
            </w:r>
          </w:p>
        </w:tc>
        <w:tc>
          <w:tcPr>
            <w:tcW w:w="710" w:type="pct"/>
            <w:shd w:val="clear" w:color="auto" w:fill="F2F2F2"/>
            <w:noWrap/>
            <w:vAlign w:val="center"/>
            <w:hideMark/>
          </w:tcPr>
          <w:p w:rsidR="007A5850"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840,248</w:t>
            </w:r>
          </w:p>
        </w:tc>
        <w:tc>
          <w:tcPr>
            <w:tcW w:w="503" w:type="pct"/>
            <w:shd w:val="clear" w:color="auto" w:fill="F2F2F2"/>
            <w:noWrap/>
            <w:vAlign w:val="center"/>
          </w:tcPr>
          <w:p w:rsidR="007A5850" w:rsidRPr="0034031B" w:rsidRDefault="007A5850" w:rsidP="001E0E59">
            <w:pPr>
              <w:spacing w:before="20" w:after="20" w:line="240" w:lineRule="auto"/>
              <w:jc w:val="right"/>
              <w:rPr>
                <w:rFonts w:ascii="Montserrat" w:hAnsi="Montserrat"/>
                <w:bCs/>
                <w:color w:val="000000"/>
                <w:sz w:val="18"/>
                <w:szCs w:val="18"/>
              </w:rPr>
            </w:pPr>
            <w:r w:rsidRPr="0034031B">
              <w:rPr>
                <w:rFonts w:ascii="Montserrat" w:hAnsi="Montserrat"/>
                <w:bCs/>
                <w:color w:val="000000"/>
                <w:sz w:val="18"/>
                <w:szCs w:val="18"/>
              </w:rPr>
              <w:t>0</w:t>
            </w:r>
          </w:p>
        </w:tc>
        <w:tc>
          <w:tcPr>
            <w:tcW w:w="478" w:type="pct"/>
            <w:shd w:val="clear" w:color="auto" w:fill="F2F2F2"/>
          </w:tcPr>
          <w:p w:rsidR="007A5850" w:rsidRPr="0034031B" w:rsidRDefault="00B91FBF"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32,,778</w:t>
            </w:r>
          </w:p>
        </w:tc>
        <w:tc>
          <w:tcPr>
            <w:tcW w:w="570" w:type="pct"/>
            <w:shd w:val="clear" w:color="auto" w:fill="F2F2F2"/>
            <w:hideMark/>
          </w:tcPr>
          <w:p w:rsidR="007A5850" w:rsidRPr="0034031B"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873,026</w:t>
            </w:r>
          </w:p>
        </w:tc>
      </w:tr>
    </w:tbl>
    <w:p w:rsidR="007A5850" w:rsidRPr="001B59BF" w:rsidRDefault="007A5850" w:rsidP="007A5850">
      <w:pPr>
        <w:pStyle w:val="TEXTONORMAL"/>
      </w:pPr>
    </w:p>
    <w:p w:rsidR="007A5850" w:rsidRPr="003E15CE" w:rsidRDefault="007A5850" w:rsidP="007A5850">
      <w:pPr>
        <w:pStyle w:val="TEXTONORMAL"/>
      </w:pPr>
      <w:r w:rsidRPr="003E15CE">
        <w:t>Las cuentas por cobrar se generaron por la prestación de servicios en ejercicio 202</w:t>
      </w:r>
      <w:r w:rsidR="00B40902">
        <w:t>2</w:t>
      </w:r>
      <w:r w:rsidRPr="003E15CE">
        <w:t>.</w:t>
      </w:r>
    </w:p>
    <w:p w:rsidR="007A5850" w:rsidRPr="003E15CE" w:rsidRDefault="007A5850" w:rsidP="007A5850">
      <w:pPr>
        <w:spacing w:after="120" w:line="250" w:lineRule="exact"/>
        <w:jc w:val="center"/>
        <w:rPr>
          <w:rFonts w:ascii="Montserrat" w:hAnsi="Montserrat"/>
          <w:b/>
          <w:sz w:val="18"/>
          <w:szCs w:val="18"/>
        </w:rPr>
      </w:pPr>
      <w:r w:rsidRPr="003E15CE">
        <w:rPr>
          <w:rFonts w:ascii="Montserrat" w:hAnsi="Montserrat"/>
          <w:b/>
          <w:sz w:val="18"/>
          <w:szCs w:val="18"/>
        </w:rPr>
        <w:t xml:space="preserve"> 1.3 Derecho a Recibir Bienes o Servicios</w:t>
      </w:r>
    </w:p>
    <w:p w:rsidR="007A5850" w:rsidRPr="003E15CE" w:rsidRDefault="007A5850" w:rsidP="007A5850">
      <w:pPr>
        <w:spacing w:after="120" w:line="250" w:lineRule="exact"/>
        <w:jc w:val="both"/>
        <w:rPr>
          <w:rFonts w:ascii="Montserrat" w:hAnsi="Montserrat"/>
          <w:sz w:val="18"/>
          <w:szCs w:val="18"/>
        </w:rPr>
      </w:pPr>
    </w:p>
    <w:tbl>
      <w:tblPr>
        <w:tblW w:w="9940" w:type="dxa"/>
        <w:jc w:val="center"/>
        <w:tblInd w:w="-658" w:type="dxa"/>
        <w:tblCellMar>
          <w:left w:w="70" w:type="dxa"/>
          <w:right w:w="70" w:type="dxa"/>
        </w:tblCellMar>
        <w:tblLook w:val="04A0" w:firstRow="1" w:lastRow="0" w:firstColumn="1" w:lastColumn="0" w:noHBand="0" w:noVBand="1"/>
      </w:tblPr>
      <w:tblGrid>
        <w:gridCol w:w="4632"/>
        <w:gridCol w:w="2127"/>
        <w:gridCol w:w="3181"/>
      </w:tblGrid>
      <w:tr w:rsidR="007A5850" w:rsidRPr="003E15CE" w:rsidTr="003E15CE">
        <w:trPr>
          <w:cantSplit/>
          <w:jc w:val="center"/>
        </w:trPr>
        <w:tc>
          <w:tcPr>
            <w:tcW w:w="2330"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1070"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600"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3E15CE">
        <w:trPr>
          <w:cantSplit/>
          <w:trHeight w:val="70"/>
          <w:jc w:val="center"/>
        </w:trPr>
        <w:tc>
          <w:tcPr>
            <w:tcW w:w="233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07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60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7A5850" w:rsidRPr="003E15CE" w:rsidTr="003E15CE">
        <w:trPr>
          <w:cantSplit/>
          <w:jc w:val="center"/>
        </w:trPr>
        <w:tc>
          <w:tcPr>
            <w:tcW w:w="2330" w:type="pct"/>
            <w:tcBorders>
              <w:top w:val="double" w:sz="12" w:space="0" w:color="808080"/>
              <w:left w:val="nil"/>
              <w:bottom w:val="nil"/>
              <w:right w:val="nil"/>
            </w:tcBorders>
            <w:shd w:val="clear" w:color="auto" w:fill="F2F2F2"/>
            <w:noWrap/>
            <w:vAlign w:val="center"/>
            <w:hideMark/>
          </w:tcPr>
          <w:p w:rsidR="007A5850" w:rsidRPr="003E15CE" w:rsidRDefault="007A5850"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1070" w:type="pct"/>
            <w:tcBorders>
              <w:top w:val="double" w:sz="12" w:space="0" w:color="808080"/>
              <w:left w:val="nil"/>
              <w:bottom w:val="nil"/>
              <w:right w:val="nil"/>
            </w:tcBorders>
            <w:shd w:val="clear" w:color="auto" w:fill="F2F2F2"/>
            <w:vAlign w:val="center"/>
            <w:hideMark/>
          </w:tcPr>
          <w:p w:rsidR="007A5850" w:rsidRPr="00B40902" w:rsidRDefault="00B40902" w:rsidP="00B40902">
            <w:pPr>
              <w:spacing w:before="20" w:after="20" w:line="240" w:lineRule="auto"/>
              <w:jc w:val="right"/>
              <w:rPr>
                <w:rFonts w:ascii="Montserrat" w:hAnsi="Montserrat"/>
                <w:b/>
                <w:bCs/>
                <w:color w:val="000000"/>
                <w:sz w:val="18"/>
                <w:szCs w:val="18"/>
              </w:rPr>
            </w:pPr>
            <w:r w:rsidRPr="00B40902">
              <w:rPr>
                <w:rFonts w:ascii="Montserrat" w:hAnsi="Montserrat"/>
                <w:b/>
                <w:bCs/>
                <w:color w:val="000000"/>
                <w:sz w:val="18"/>
                <w:szCs w:val="18"/>
              </w:rPr>
              <w:t>12,883,579</w:t>
            </w:r>
          </w:p>
        </w:tc>
        <w:tc>
          <w:tcPr>
            <w:tcW w:w="1600" w:type="pct"/>
            <w:tcBorders>
              <w:top w:val="double" w:sz="12" w:space="0" w:color="808080"/>
              <w:left w:val="nil"/>
              <w:bottom w:val="nil"/>
              <w:right w:val="nil"/>
            </w:tcBorders>
            <w:shd w:val="clear" w:color="auto" w:fill="F2F2F2"/>
            <w:vAlign w:val="center"/>
            <w:hideMark/>
          </w:tcPr>
          <w:p w:rsidR="007A5850" w:rsidRPr="003E15CE" w:rsidRDefault="00B40902" w:rsidP="00B40902">
            <w:pPr>
              <w:spacing w:before="20" w:after="20" w:line="240" w:lineRule="auto"/>
              <w:jc w:val="center"/>
              <w:rPr>
                <w:rFonts w:ascii="Montserrat" w:hAnsi="Montserrat"/>
                <w:b/>
                <w:bCs/>
                <w:color w:val="000000"/>
                <w:sz w:val="18"/>
                <w:szCs w:val="18"/>
              </w:rPr>
            </w:pPr>
            <w:r>
              <w:rPr>
                <w:rFonts w:ascii="Montserrat" w:hAnsi="Montserrat"/>
                <w:b/>
                <w:bCs/>
                <w:color w:val="000000"/>
                <w:sz w:val="18"/>
                <w:szCs w:val="18"/>
              </w:rPr>
              <w:t>0</w:t>
            </w:r>
          </w:p>
        </w:tc>
      </w:tr>
      <w:tr w:rsidR="007A5850" w:rsidRPr="003E15CE" w:rsidTr="003E15CE">
        <w:trPr>
          <w:cantSplit/>
          <w:jc w:val="center"/>
        </w:trPr>
        <w:tc>
          <w:tcPr>
            <w:tcW w:w="2330" w:type="pct"/>
            <w:shd w:val="clear" w:color="auto" w:fill="F2F2F2"/>
            <w:noWrap/>
            <w:vAlign w:val="center"/>
            <w:hideMark/>
          </w:tcPr>
          <w:p w:rsidR="007A5850" w:rsidRPr="003E15CE" w:rsidRDefault="00B40902" w:rsidP="001E0E59">
            <w:pPr>
              <w:spacing w:before="20" w:after="20" w:line="240" w:lineRule="auto"/>
              <w:jc w:val="both"/>
              <w:rPr>
                <w:rFonts w:ascii="Montserrat" w:hAnsi="Montserrat"/>
                <w:bCs/>
                <w:color w:val="000000"/>
                <w:sz w:val="18"/>
                <w:szCs w:val="18"/>
              </w:rPr>
            </w:pPr>
            <w:r>
              <w:rPr>
                <w:rFonts w:ascii="Montserrat" w:hAnsi="Montserrat"/>
                <w:bCs/>
                <w:color w:val="000000"/>
                <w:sz w:val="18"/>
                <w:szCs w:val="18"/>
              </w:rPr>
              <w:t xml:space="preserve">Edificaciones 3 </w:t>
            </w:r>
            <w:proofErr w:type="spellStart"/>
            <w:r>
              <w:rPr>
                <w:rFonts w:ascii="Montserrat" w:hAnsi="Montserrat"/>
                <w:bCs/>
                <w:color w:val="000000"/>
                <w:sz w:val="18"/>
                <w:szCs w:val="18"/>
              </w:rPr>
              <w:t>Rios</w:t>
            </w:r>
            <w:proofErr w:type="spellEnd"/>
            <w:r>
              <w:rPr>
                <w:rFonts w:ascii="Montserrat" w:hAnsi="Montserrat"/>
                <w:bCs/>
                <w:color w:val="000000"/>
                <w:sz w:val="18"/>
                <w:szCs w:val="18"/>
              </w:rPr>
              <w:t xml:space="preserve"> SA de CV</w:t>
            </w:r>
          </w:p>
        </w:tc>
        <w:tc>
          <w:tcPr>
            <w:tcW w:w="1070" w:type="pct"/>
            <w:shd w:val="clear" w:color="auto" w:fill="F2F2F2"/>
            <w:noWrap/>
            <w:vAlign w:val="center"/>
            <w:hideMark/>
          </w:tcPr>
          <w:p w:rsidR="007A5850" w:rsidRPr="003E15CE" w:rsidRDefault="00B40902" w:rsidP="00B40902">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12,883,579</w:t>
            </w:r>
          </w:p>
        </w:tc>
        <w:tc>
          <w:tcPr>
            <w:tcW w:w="1600" w:type="pct"/>
            <w:shd w:val="clear" w:color="auto" w:fill="F2F2F2"/>
            <w:noWrap/>
            <w:vAlign w:val="center"/>
            <w:hideMark/>
          </w:tcPr>
          <w:p w:rsidR="007A5850" w:rsidRPr="003E15CE"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0</w:t>
            </w:r>
          </w:p>
        </w:tc>
      </w:tr>
    </w:tbl>
    <w:p w:rsidR="007A5850" w:rsidRPr="003E15CE" w:rsidRDefault="007A5850" w:rsidP="007A5850">
      <w:pPr>
        <w:spacing w:after="120" w:line="250" w:lineRule="exact"/>
        <w:jc w:val="both"/>
        <w:rPr>
          <w:rFonts w:ascii="Montserrat" w:hAnsi="Montserrat"/>
          <w:sz w:val="18"/>
          <w:szCs w:val="18"/>
        </w:rPr>
      </w:pPr>
    </w:p>
    <w:p w:rsidR="007A5850" w:rsidRPr="003E15CE" w:rsidRDefault="007A5850" w:rsidP="007A5850">
      <w:pPr>
        <w:pStyle w:val="TEXTONORMAL"/>
        <w:jc w:val="center"/>
        <w:rPr>
          <w:b/>
        </w:rPr>
      </w:pPr>
      <w:r w:rsidRPr="003E15CE">
        <w:rPr>
          <w:b/>
        </w:rPr>
        <w:t>Almacenes</w:t>
      </w:r>
    </w:p>
    <w:p w:rsidR="007A5850" w:rsidRPr="003E15CE" w:rsidRDefault="007A5850" w:rsidP="007A5850">
      <w:pPr>
        <w:pStyle w:val="TEXTONORMAL"/>
      </w:pPr>
      <w:r w:rsidRPr="003E15CE">
        <w:t xml:space="preserve">Este rubro se integra por los materiales de consumo, los cuales son descargados del rubro de almacén contra la cuenta de resultados “Materiales y Servicios” al momento de ser requeridos por los usuarios, como sigue: </w:t>
      </w:r>
    </w:p>
    <w:p w:rsidR="007A5850" w:rsidRPr="003E15CE" w:rsidRDefault="007A5850" w:rsidP="007A5850">
      <w:pPr>
        <w:pStyle w:val="TEXTONORMAL"/>
      </w:pPr>
    </w:p>
    <w:tbl>
      <w:tblPr>
        <w:tblW w:w="9770" w:type="dxa"/>
        <w:jc w:val="center"/>
        <w:tblInd w:w="-633" w:type="dxa"/>
        <w:tblCellMar>
          <w:left w:w="70" w:type="dxa"/>
          <w:right w:w="70" w:type="dxa"/>
        </w:tblCellMar>
        <w:tblLook w:val="04A0" w:firstRow="1" w:lastRow="0" w:firstColumn="1" w:lastColumn="0" w:noHBand="0" w:noVBand="1"/>
      </w:tblPr>
      <w:tblGrid>
        <w:gridCol w:w="4336"/>
        <w:gridCol w:w="2128"/>
        <w:gridCol w:w="3306"/>
      </w:tblGrid>
      <w:tr w:rsidR="007A5850" w:rsidRPr="003E15CE" w:rsidTr="003E15CE">
        <w:trPr>
          <w:cantSplit/>
          <w:jc w:val="center"/>
        </w:trPr>
        <w:tc>
          <w:tcPr>
            <w:tcW w:w="2219"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1089"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692"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3E15CE">
        <w:trPr>
          <w:cantSplit/>
          <w:trHeight w:val="70"/>
          <w:jc w:val="center"/>
        </w:trPr>
        <w:tc>
          <w:tcPr>
            <w:tcW w:w="2219"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089"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692"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B40902" w:rsidRPr="003E15CE" w:rsidTr="003E15CE">
        <w:trPr>
          <w:cantSplit/>
          <w:jc w:val="center"/>
        </w:trPr>
        <w:tc>
          <w:tcPr>
            <w:tcW w:w="2219" w:type="pct"/>
            <w:tcBorders>
              <w:top w:val="double" w:sz="12" w:space="0" w:color="808080"/>
              <w:left w:val="nil"/>
              <w:bottom w:val="nil"/>
              <w:right w:val="nil"/>
            </w:tcBorders>
            <w:shd w:val="clear" w:color="auto" w:fill="F2F2F2"/>
            <w:noWrap/>
            <w:vAlign w:val="center"/>
            <w:hideMark/>
          </w:tcPr>
          <w:p w:rsidR="00B40902" w:rsidRPr="003E15CE" w:rsidRDefault="00B40902"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1089" w:type="pct"/>
            <w:tcBorders>
              <w:top w:val="double" w:sz="12" w:space="0" w:color="808080"/>
              <w:left w:val="nil"/>
              <w:bottom w:val="nil"/>
              <w:right w:val="nil"/>
            </w:tcBorders>
            <w:shd w:val="clear" w:color="auto" w:fill="F2F2F2"/>
            <w:vAlign w:val="center"/>
          </w:tcPr>
          <w:p w:rsidR="00B40902" w:rsidRPr="00B40902" w:rsidRDefault="00B40902" w:rsidP="001E0E59">
            <w:pPr>
              <w:spacing w:before="20" w:after="20" w:line="240" w:lineRule="auto"/>
              <w:jc w:val="right"/>
              <w:rPr>
                <w:rFonts w:ascii="Montserrat" w:hAnsi="Montserrat"/>
                <w:b/>
                <w:bCs/>
                <w:color w:val="000000"/>
                <w:sz w:val="18"/>
                <w:szCs w:val="18"/>
              </w:rPr>
            </w:pPr>
            <w:r w:rsidRPr="00B40902">
              <w:rPr>
                <w:rFonts w:ascii="Montserrat" w:hAnsi="Montserrat"/>
                <w:b/>
                <w:bCs/>
                <w:color w:val="000000"/>
                <w:sz w:val="18"/>
                <w:szCs w:val="18"/>
              </w:rPr>
              <w:t>1,110,072</w:t>
            </w:r>
          </w:p>
        </w:tc>
        <w:tc>
          <w:tcPr>
            <w:tcW w:w="1692" w:type="pct"/>
            <w:tcBorders>
              <w:top w:val="double" w:sz="12" w:space="0" w:color="808080"/>
              <w:left w:val="nil"/>
              <w:bottom w:val="nil"/>
              <w:right w:val="nil"/>
            </w:tcBorders>
            <w:shd w:val="clear" w:color="auto" w:fill="F2F2F2"/>
            <w:vAlign w:val="center"/>
            <w:hideMark/>
          </w:tcPr>
          <w:p w:rsidR="00B40902" w:rsidRPr="00B40902" w:rsidRDefault="00B40902" w:rsidP="009846C8">
            <w:pPr>
              <w:spacing w:before="20" w:after="20" w:line="240" w:lineRule="auto"/>
              <w:jc w:val="right"/>
              <w:rPr>
                <w:rFonts w:ascii="Montserrat" w:hAnsi="Montserrat"/>
                <w:b/>
                <w:bCs/>
                <w:color w:val="000000"/>
                <w:sz w:val="18"/>
                <w:szCs w:val="18"/>
              </w:rPr>
            </w:pPr>
            <w:r w:rsidRPr="00B40902">
              <w:rPr>
                <w:rFonts w:ascii="Montserrat" w:hAnsi="Montserrat"/>
                <w:b/>
                <w:bCs/>
                <w:color w:val="000000"/>
                <w:sz w:val="18"/>
                <w:szCs w:val="18"/>
              </w:rPr>
              <w:t>1,267,550</w:t>
            </w:r>
          </w:p>
        </w:tc>
      </w:tr>
      <w:tr w:rsidR="00B40902" w:rsidRPr="003E15CE" w:rsidTr="003E15CE">
        <w:trPr>
          <w:cantSplit/>
          <w:jc w:val="center"/>
        </w:trPr>
        <w:tc>
          <w:tcPr>
            <w:tcW w:w="2219"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Almacén de Bienes de Consumo</w:t>
            </w:r>
          </w:p>
        </w:tc>
        <w:tc>
          <w:tcPr>
            <w:tcW w:w="1089" w:type="pct"/>
            <w:shd w:val="clear" w:color="auto" w:fill="F2F2F2"/>
            <w:noWrap/>
            <w:vAlign w:val="center"/>
          </w:tcPr>
          <w:p w:rsidR="00B40902" w:rsidRPr="003E15CE" w:rsidRDefault="00B4090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1,110,072</w:t>
            </w:r>
          </w:p>
        </w:tc>
        <w:tc>
          <w:tcPr>
            <w:tcW w:w="169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1,267,550</w:t>
            </w:r>
          </w:p>
        </w:tc>
      </w:tr>
    </w:tbl>
    <w:p w:rsidR="007A5850" w:rsidRPr="001B59BF" w:rsidRDefault="007A5850" w:rsidP="007A5850">
      <w:pPr>
        <w:pStyle w:val="TEXTONORMAL"/>
        <w:jc w:val="center"/>
      </w:pPr>
    </w:p>
    <w:p w:rsidR="007A5850" w:rsidRPr="003E15CE" w:rsidRDefault="007A5850" w:rsidP="007A5850">
      <w:pPr>
        <w:pStyle w:val="TEXTONORMAL"/>
      </w:pPr>
      <w:r w:rsidRPr="003E15CE">
        <w:t>Los almacenes se registran al costo de adquisición y se valúan a través del método de costos promedio y por el método de primeras entradas primeras salidas.</w:t>
      </w:r>
    </w:p>
    <w:p w:rsidR="007A5850" w:rsidRPr="003E15CE" w:rsidRDefault="007A5850" w:rsidP="007A5850">
      <w:pPr>
        <w:pStyle w:val="TEXTONORMAL"/>
        <w:numPr>
          <w:ilvl w:val="0"/>
          <w:numId w:val="16"/>
        </w:numPr>
      </w:pPr>
      <w:r w:rsidRPr="003E15CE">
        <w:t>Inversiones Financieras</w:t>
      </w:r>
    </w:p>
    <w:p w:rsidR="007A5850" w:rsidRPr="003E15CE" w:rsidRDefault="007A5850" w:rsidP="007A5850">
      <w:pPr>
        <w:pStyle w:val="TEXTONORMAL"/>
      </w:pPr>
      <w:r w:rsidRPr="003E15CE">
        <w:t>Sin Información que revelar</w:t>
      </w:r>
    </w:p>
    <w:p w:rsidR="007A5850" w:rsidRPr="003E15CE" w:rsidRDefault="007A5850" w:rsidP="007A5850">
      <w:pPr>
        <w:pStyle w:val="TEXTONORMAL"/>
        <w:jc w:val="center"/>
        <w:rPr>
          <w:b/>
        </w:rPr>
      </w:pPr>
      <w:r w:rsidRPr="003E15CE">
        <w:rPr>
          <w:b/>
        </w:rPr>
        <w:t>Bienes Muebles</w:t>
      </w:r>
    </w:p>
    <w:tbl>
      <w:tblPr>
        <w:tblW w:w="9938" w:type="dxa"/>
        <w:jc w:val="center"/>
        <w:tblInd w:w="-769" w:type="dxa"/>
        <w:tblCellMar>
          <w:left w:w="70" w:type="dxa"/>
          <w:right w:w="70" w:type="dxa"/>
        </w:tblCellMar>
        <w:tblLook w:val="04A0" w:firstRow="1" w:lastRow="0" w:firstColumn="1" w:lastColumn="0" w:noHBand="0" w:noVBand="1"/>
      </w:tblPr>
      <w:tblGrid>
        <w:gridCol w:w="5000"/>
        <w:gridCol w:w="1833"/>
        <w:gridCol w:w="3105"/>
      </w:tblGrid>
      <w:tr w:rsidR="007A5850" w:rsidRPr="003E15CE" w:rsidTr="00B40902">
        <w:trPr>
          <w:cantSplit/>
          <w:jc w:val="center"/>
        </w:trPr>
        <w:tc>
          <w:tcPr>
            <w:tcW w:w="2516"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922"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562"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B40902">
        <w:trPr>
          <w:cantSplit/>
          <w:trHeight w:val="70"/>
          <w:jc w:val="center"/>
        </w:trPr>
        <w:tc>
          <w:tcPr>
            <w:tcW w:w="2516"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22"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562"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B40902" w:rsidRPr="003E15CE" w:rsidTr="00B40902">
        <w:trPr>
          <w:cantSplit/>
          <w:jc w:val="center"/>
        </w:trPr>
        <w:tc>
          <w:tcPr>
            <w:tcW w:w="2516" w:type="pct"/>
            <w:tcBorders>
              <w:top w:val="double" w:sz="12" w:space="0" w:color="808080"/>
              <w:left w:val="nil"/>
              <w:bottom w:val="nil"/>
              <w:right w:val="nil"/>
            </w:tcBorders>
            <w:shd w:val="clear" w:color="auto" w:fill="F2F2F2"/>
            <w:noWrap/>
            <w:vAlign w:val="center"/>
            <w:hideMark/>
          </w:tcPr>
          <w:p w:rsidR="00B40902" w:rsidRPr="003E15CE" w:rsidRDefault="00B40902"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922" w:type="pct"/>
            <w:tcBorders>
              <w:top w:val="double" w:sz="12" w:space="0" w:color="808080"/>
              <w:left w:val="nil"/>
              <w:bottom w:val="nil"/>
              <w:right w:val="nil"/>
            </w:tcBorders>
            <w:shd w:val="clear" w:color="auto" w:fill="F2F2F2"/>
            <w:vAlign w:val="center"/>
          </w:tcPr>
          <w:p w:rsidR="00B40902" w:rsidRPr="003E15CE" w:rsidRDefault="00A92B48"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333,649,263</w:t>
            </w:r>
          </w:p>
        </w:tc>
        <w:tc>
          <w:tcPr>
            <w:tcW w:w="1562" w:type="pct"/>
            <w:tcBorders>
              <w:top w:val="double" w:sz="12" w:space="0" w:color="808080"/>
              <w:left w:val="nil"/>
              <w:bottom w:val="nil"/>
              <w:right w:val="nil"/>
            </w:tcBorders>
            <w:shd w:val="clear" w:color="auto" w:fill="F2F2F2"/>
            <w:vAlign w:val="center"/>
            <w:hideMark/>
          </w:tcPr>
          <w:p w:rsidR="00B40902" w:rsidRPr="003E15CE" w:rsidRDefault="00B40902" w:rsidP="009846C8">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295,812,491</w:t>
            </w:r>
          </w:p>
        </w:tc>
      </w:tr>
      <w:tr w:rsidR="00B40902" w:rsidRPr="003E15CE" w:rsidTr="00B40902">
        <w:trPr>
          <w:cantSplit/>
          <w:jc w:val="center"/>
        </w:trPr>
        <w:tc>
          <w:tcPr>
            <w:tcW w:w="2516"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Mobiliario y Equipo de Administración</w:t>
            </w:r>
          </w:p>
        </w:tc>
        <w:tc>
          <w:tcPr>
            <w:tcW w:w="922" w:type="pct"/>
            <w:shd w:val="clear" w:color="auto" w:fill="F2F2F2"/>
            <w:noWrap/>
            <w:vAlign w:val="center"/>
          </w:tcPr>
          <w:p w:rsidR="00B40902" w:rsidRPr="003E15CE" w:rsidRDefault="00A92B48"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71,087,100</w:t>
            </w:r>
          </w:p>
        </w:tc>
        <w:tc>
          <w:tcPr>
            <w:tcW w:w="156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67,079,673</w:t>
            </w:r>
          </w:p>
        </w:tc>
      </w:tr>
      <w:tr w:rsidR="00B40902" w:rsidRPr="003E15CE" w:rsidTr="00B40902">
        <w:trPr>
          <w:cantSplit/>
          <w:jc w:val="center"/>
        </w:trPr>
        <w:tc>
          <w:tcPr>
            <w:tcW w:w="2516"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Mobiliario y equipo Educacional y Recreativo</w:t>
            </w:r>
          </w:p>
        </w:tc>
        <w:tc>
          <w:tcPr>
            <w:tcW w:w="922" w:type="pct"/>
            <w:shd w:val="clear" w:color="auto" w:fill="F2F2F2"/>
            <w:noWrap/>
            <w:vAlign w:val="center"/>
          </w:tcPr>
          <w:p w:rsidR="00B40902" w:rsidRPr="003E15CE" w:rsidRDefault="00B40902"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1,378,993</w:t>
            </w:r>
          </w:p>
        </w:tc>
        <w:tc>
          <w:tcPr>
            <w:tcW w:w="156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1,378,993</w:t>
            </w:r>
          </w:p>
        </w:tc>
      </w:tr>
      <w:tr w:rsidR="00B40902" w:rsidRPr="003E15CE" w:rsidTr="00B40902">
        <w:trPr>
          <w:cantSplit/>
          <w:jc w:val="center"/>
        </w:trPr>
        <w:tc>
          <w:tcPr>
            <w:tcW w:w="2516"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Equipo e Instrumental Médico y de Laboratorio</w:t>
            </w:r>
          </w:p>
        </w:tc>
        <w:tc>
          <w:tcPr>
            <w:tcW w:w="922" w:type="pct"/>
            <w:shd w:val="clear" w:color="auto" w:fill="F2F2F2"/>
            <w:noWrap/>
            <w:vAlign w:val="center"/>
          </w:tcPr>
          <w:p w:rsidR="00B40902" w:rsidRPr="003E15CE" w:rsidRDefault="00A92B48"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249,638,128</w:t>
            </w:r>
          </w:p>
        </w:tc>
        <w:tc>
          <w:tcPr>
            <w:tcW w:w="156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215,808,784</w:t>
            </w:r>
          </w:p>
        </w:tc>
      </w:tr>
      <w:tr w:rsidR="00B40902" w:rsidRPr="003E15CE" w:rsidTr="00B40902">
        <w:trPr>
          <w:cantSplit/>
          <w:jc w:val="center"/>
        </w:trPr>
        <w:tc>
          <w:tcPr>
            <w:tcW w:w="2516"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Vehículos y Equipo de Transporte</w:t>
            </w:r>
          </w:p>
        </w:tc>
        <w:tc>
          <w:tcPr>
            <w:tcW w:w="922" w:type="pct"/>
            <w:shd w:val="clear" w:color="auto" w:fill="F2F2F2"/>
            <w:noWrap/>
            <w:vAlign w:val="center"/>
          </w:tcPr>
          <w:p w:rsidR="00B40902" w:rsidRPr="003E15CE" w:rsidRDefault="00B40902"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2,549,192</w:t>
            </w:r>
          </w:p>
        </w:tc>
        <w:tc>
          <w:tcPr>
            <w:tcW w:w="156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2,549,192</w:t>
            </w:r>
          </w:p>
        </w:tc>
      </w:tr>
      <w:tr w:rsidR="00B40902" w:rsidRPr="003E15CE" w:rsidTr="00B40902">
        <w:trPr>
          <w:cantSplit/>
          <w:jc w:val="center"/>
        </w:trPr>
        <w:tc>
          <w:tcPr>
            <w:tcW w:w="2516"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lastRenderedPageBreak/>
              <w:t>Maquinaria, Otros Equipos y Herramientas</w:t>
            </w:r>
          </w:p>
        </w:tc>
        <w:tc>
          <w:tcPr>
            <w:tcW w:w="922" w:type="pct"/>
            <w:shd w:val="clear" w:color="auto" w:fill="F2F2F2"/>
            <w:noWrap/>
            <w:vAlign w:val="center"/>
          </w:tcPr>
          <w:p w:rsidR="00B40902" w:rsidRPr="003E15CE" w:rsidRDefault="00B40902"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6,816,093</w:t>
            </w:r>
          </w:p>
        </w:tc>
        <w:tc>
          <w:tcPr>
            <w:tcW w:w="156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6,816,093</w:t>
            </w:r>
          </w:p>
        </w:tc>
      </w:tr>
      <w:tr w:rsidR="00B40902" w:rsidRPr="003E15CE" w:rsidTr="00B40902">
        <w:trPr>
          <w:cantSplit/>
          <w:jc w:val="center"/>
        </w:trPr>
        <w:tc>
          <w:tcPr>
            <w:tcW w:w="2516" w:type="pct"/>
            <w:shd w:val="clear" w:color="auto" w:fill="F2F2F2"/>
            <w:noWrap/>
            <w:vAlign w:val="center"/>
            <w:hideMark/>
          </w:tcPr>
          <w:p w:rsidR="00B40902" w:rsidRPr="003E15CE" w:rsidRDefault="00B40902"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Colecciones, Obras de Arte y Objetos Valiosos</w:t>
            </w:r>
          </w:p>
        </w:tc>
        <w:tc>
          <w:tcPr>
            <w:tcW w:w="922" w:type="pct"/>
            <w:shd w:val="clear" w:color="auto" w:fill="F2F2F2"/>
            <w:noWrap/>
            <w:vAlign w:val="center"/>
          </w:tcPr>
          <w:p w:rsidR="00B40902" w:rsidRPr="003E15CE" w:rsidRDefault="00B40902"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2,179,756</w:t>
            </w:r>
          </w:p>
        </w:tc>
        <w:tc>
          <w:tcPr>
            <w:tcW w:w="1562" w:type="pct"/>
            <w:shd w:val="clear" w:color="auto" w:fill="F2F2F2"/>
            <w:noWrap/>
            <w:vAlign w:val="center"/>
            <w:hideMark/>
          </w:tcPr>
          <w:p w:rsidR="00B40902" w:rsidRPr="003E15CE" w:rsidRDefault="00B40902"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2,179,756</w:t>
            </w:r>
          </w:p>
        </w:tc>
      </w:tr>
    </w:tbl>
    <w:p w:rsidR="007A5850" w:rsidRPr="003E15CE" w:rsidRDefault="007A5850" w:rsidP="007A5850">
      <w:pPr>
        <w:pStyle w:val="TEXTONORMAL"/>
        <w:jc w:val="center"/>
        <w:rPr>
          <w:b/>
        </w:rPr>
      </w:pPr>
    </w:p>
    <w:p w:rsidR="007A5850" w:rsidRPr="003E15CE" w:rsidRDefault="007A5850" w:rsidP="007A5850">
      <w:pPr>
        <w:pStyle w:val="TEXTONORMAL"/>
        <w:jc w:val="center"/>
        <w:rPr>
          <w:b/>
        </w:rPr>
      </w:pPr>
      <w:r w:rsidRPr="001B59BF">
        <w:rPr>
          <w:b/>
          <w:sz w:val="16"/>
          <w:szCs w:val="16"/>
        </w:rPr>
        <w:t xml:space="preserve"> </w:t>
      </w:r>
      <w:r w:rsidRPr="003E15CE">
        <w:rPr>
          <w:b/>
        </w:rPr>
        <w:t>Bienes Inmuebles</w:t>
      </w:r>
    </w:p>
    <w:tbl>
      <w:tblPr>
        <w:tblW w:w="9716" w:type="dxa"/>
        <w:jc w:val="center"/>
        <w:tblInd w:w="-905" w:type="dxa"/>
        <w:tblCellMar>
          <w:left w:w="70" w:type="dxa"/>
          <w:right w:w="70" w:type="dxa"/>
        </w:tblCellMar>
        <w:tblLook w:val="04A0" w:firstRow="1" w:lastRow="0" w:firstColumn="1" w:lastColumn="0" w:noHBand="0" w:noVBand="1"/>
      </w:tblPr>
      <w:tblGrid>
        <w:gridCol w:w="4469"/>
        <w:gridCol w:w="2068"/>
        <w:gridCol w:w="3179"/>
      </w:tblGrid>
      <w:tr w:rsidR="007A5850" w:rsidRPr="003E15CE" w:rsidTr="00B26D50">
        <w:trPr>
          <w:cantSplit/>
          <w:jc w:val="center"/>
        </w:trPr>
        <w:tc>
          <w:tcPr>
            <w:tcW w:w="2300"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1064"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636"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B26D50">
        <w:trPr>
          <w:cantSplit/>
          <w:trHeight w:val="70"/>
          <w:jc w:val="center"/>
        </w:trPr>
        <w:tc>
          <w:tcPr>
            <w:tcW w:w="230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064"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636"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7A5850" w:rsidRPr="003E15CE" w:rsidTr="00B26D50">
        <w:trPr>
          <w:cantSplit/>
          <w:jc w:val="center"/>
        </w:trPr>
        <w:tc>
          <w:tcPr>
            <w:tcW w:w="2300" w:type="pct"/>
            <w:tcBorders>
              <w:top w:val="double" w:sz="12" w:space="0" w:color="808080"/>
              <w:left w:val="nil"/>
              <w:bottom w:val="nil"/>
              <w:right w:val="nil"/>
            </w:tcBorders>
            <w:shd w:val="clear" w:color="auto" w:fill="F2F2F2"/>
            <w:noWrap/>
            <w:vAlign w:val="center"/>
            <w:hideMark/>
          </w:tcPr>
          <w:p w:rsidR="007A5850" w:rsidRPr="006849A8" w:rsidRDefault="007A5850" w:rsidP="001E0E59">
            <w:pPr>
              <w:spacing w:before="20" w:after="20" w:line="240" w:lineRule="auto"/>
              <w:rPr>
                <w:rFonts w:ascii="Montserrat" w:hAnsi="Montserrat"/>
                <w:b/>
                <w:bCs/>
                <w:color w:val="000000"/>
                <w:sz w:val="18"/>
                <w:szCs w:val="18"/>
              </w:rPr>
            </w:pPr>
            <w:r w:rsidRPr="006849A8">
              <w:rPr>
                <w:rFonts w:ascii="Montserrat" w:hAnsi="Montserrat"/>
                <w:b/>
                <w:bCs/>
                <w:color w:val="000000"/>
                <w:sz w:val="18"/>
                <w:szCs w:val="18"/>
              </w:rPr>
              <w:t>TOTAL</w:t>
            </w:r>
          </w:p>
        </w:tc>
        <w:tc>
          <w:tcPr>
            <w:tcW w:w="1064" w:type="pct"/>
            <w:tcBorders>
              <w:top w:val="double" w:sz="12" w:space="0" w:color="808080"/>
              <w:left w:val="nil"/>
              <w:bottom w:val="nil"/>
              <w:right w:val="nil"/>
            </w:tcBorders>
            <w:shd w:val="clear" w:color="auto" w:fill="F2F2F2"/>
            <w:vAlign w:val="center"/>
            <w:hideMark/>
          </w:tcPr>
          <w:p w:rsidR="007A5850" w:rsidRPr="006849A8" w:rsidRDefault="006849A8" w:rsidP="001E0E59">
            <w:pPr>
              <w:spacing w:before="20" w:after="20" w:line="240" w:lineRule="auto"/>
              <w:jc w:val="right"/>
              <w:rPr>
                <w:rFonts w:ascii="Montserrat" w:hAnsi="Montserrat"/>
                <w:b/>
                <w:bCs/>
                <w:color w:val="000000"/>
                <w:sz w:val="18"/>
                <w:szCs w:val="18"/>
              </w:rPr>
            </w:pPr>
            <w:r w:rsidRPr="006849A8">
              <w:rPr>
                <w:rFonts w:ascii="Montserrat" w:hAnsi="Montserrat"/>
                <w:b/>
                <w:bCs/>
                <w:color w:val="000000"/>
                <w:sz w:val="18"/>
                <w:szCs w:val="18"/>
              </w:rPr>
              <w:t>1,516,861,670</w:t>
            </w:r>
          </w:p>
        </w:tc>
        <w:tc>
          <w:tcPr>
            <w:tcW w:w="1636" w:type="pct"/>
            <w:tcBorders>
              <w:top w:val="double" w:sz="12" w:space="0" w:color="808080"/>
              <w:left w:val="nil"/>
              <w:bottom w:val="nil"/>
              <w:right w:val="nil"/>
            </w:tcBorders>
            <w:shd w:val="clear" w:color="auto" w:fill="F2F2F2"/>
            <w:vAlign w:val="center"/>
            <w:hideMark/>
          </w:tcPr>
          <w:p w:rsidR="007A5850" w:rsidRPr="006849A8" w:rsidRDefault="007A5850" w:rsidP="001E0E59">
            <w:pPr>
              <w:spacing w:before="20" w:after="20" w:line="240" w:lineRule="auto"/>
              <w:jc w:val="right"/>
              <w:rPr>
                <w:rFonts w:ascii="Montserrat" w:hAnsi="Montserrat"/>
                <w:b/>
                <w:bCs/>
                <w:color w:val="000000"/>
                <w:sz w:val="18"/>
                <w:szCs w:val="18"/>
              </w:rPr>
            </w:pPr>
            <w:r w:rsidRPr="006849A8">
              <w:rPr>
                <w:rFonts w:ascii="Montserrat" w:hAnsi="Montserrat"/>
                <w:b/>
                <w:bCs/>
                <w:color w:val="000000"/>
                <w:sz w:val="18"/>
                <w:szCs w:val="18"/>
              </w:rPr>
              <w:t>1,488,953,026</w:t>
            </w:r>
          </w:p>
        </w:tc>
      </w:tr>
      <w:tr w:rsidR="007A5850" w:rsidRPr="003E15CE" w:rsidTr="00B26D50">
        <w:trPr>
          <w:cantSplit/>
          <w:jc w:val="center"/>
        </w:trPr>
        <w:tc>
          <w:tcPr>
            <w:tcW w:w="2300" w:type="pct"/>
            <w:shd w:val="clear" w:color="auto" w:fill="F2F2F2"/>
            <w:noWrap/>
            <w:vAlign w:val="center"/>
            <w:hideMark/>
          </w:tcPr>
          <w:p w:rsidR="007A5850" w:rsidRPr="003E15CE" w:rsidRDefault="007A5850"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Terreno</w:t>
            </w:r>
          </w:p>
        </w:tc>
        <w:tc>
          <w:tcPr>
            <w:tcW w:w="1064" w:type="pct"/>
            <w:shd w:val="clear" w:color="auto" w:fill="F2F2F2"/>
            <w:noWrap/>
            <w:vAlign w:val="center"/>
            <w:hideMark/>
          </w:tcPr>
          <w:p w:rsidR="007A5850" w:rsidRPr="003E15CE" w:rsidRDefault="007A5850"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195,106,451</w:t>
            </w:r>
          </w:p>
        </w:tc>
        <w:tc>
          <w:tcPr>
            <w:tcW w:w="1636" w:type="pct"/>
            <w:shd w:val="clear" w:color="auto" w:fill="F2F2F2"/>
            <w:noWrap/>
            <w:vAlign w:val="center"/>
            <w:hideMark/>
          </w:tcPr>
          <w:p w:rsidR="007A5850" w:rsidRPr="003E15CE" w:rsidRDefault="007A5850"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195,106,451</w:t>
            </w:r>
          </w:p>
        </w:tc>
      </w:tr>
      <w:tr w:rsidR="007A5850" w:rsidRPr="003E15CE" w:rsidTr="00B26D50">
        <w:trPr>
          <w:cantSplit/>
          <w:jc w:val="center"/>
        </w:trPr>
        <w:tc>
          <w:tcPr>
            <w:tcW w:w="2300" w:type="pct"/>
            <w:shd w:val="clear" w:color="auto" w:fill="F2F2F2"/>
            <w:noWrap/>
            <w:vAlign w:val="center"/>
            <w:hideMark/>
          </w:tcPr>
          <w:p w:rsidR="007A5850" w:rsidRDefault="007A5850"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Edificaciones no Habitacionales</w:t>
            </w:r>
          </w:p>
          <w:p w:rsidR="00A92B48" w:rsidRPr="003E15CE" w:rsidRDefault="00A92B48" w:rsidP="001E0E59">
            <w:pPr>
              <w:spacing w:before="20" w:after="20" w:line="240" w:lineRule="auto"/>
              <w:jc w:val="both"/>
              <w:rPr>
                <w:rFonts w:ascii="Montserrat" w:hAnsi="Montserrat"/>
                <w:bCs/>
                <w:color w:val="000000"/>
                <w:sz w:val="18"/>
                <w:szCs w:val="18"/>
              </w:rPr>
            </w:pPr>
            <w:r>
              <w:rPr>
                <w:rFonts w:ascii="Montserrat" w:hAnsi="Montserrat"/>
                <w:bCs/>
                <w:color w:val="000000"/>
                <w:sz w:val="18"/>
                <w:szCs w:val="18"/>
              </w:rPr>
              <w:t xml:space="preserve">Obra en Proceso </w:t>
            </w:r>
          </w:p>
        </w:tc>
        <w:tc>
          <w:tcPr>
            <w:tcW w:w="1064" w:type="pct"/>
            <w:shd w:val="clear" w:color="auto" w:fill="F2F2F2"/>
            <w:noWrap/>
            <w:vAlign w:val="center"/>
            <w:hideMark/>
          </w:tcPr>
          <w:p w:rsidR="007A5850" w:rsidRDefault="007A5850"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w:t>
            </w:r>
            <w:r w:rsidR="00A92B48">
              <w:rPr>
                <w:rFonts w:ascii="Montserrat" w:hAnsi="Montserrat"/>
                <w:bCs/>
                <w:color w:val="000000"/>
                <w:sz w:val="18"/>
                <w:szCs w:val="18"/>
              </w:rPr>
              <w:t>303,103,375</w:t>
            </w:r>
          </w:p>
          <w:p w:rsidR="00A92B48" w:rsidRPr="003E15CE" w:rsidRDefault="00A92B48" w:rsidP="006849A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18,651,84</w:t>
            </w:r>
            <w:r w:rsidR="006849A8">
              <w:rPr>
                <w:rFonts w:ascii="Montserrat" w:hAnsi="Montserrat"/>
                <w:bCs/>
                <w:color w:val="000000"/>
                <w:sz w:val="18"/>
                <w:szCs w:val="18"/>
              </w:rPr>
              <w:t>4</w:t>
            </w:r>
          </w:p>
        </w:tc>
        <w:tc>
          <w:tcPr>
            <w:tcW w:w="1636" w:type="pct"/>
            <w:shd w:val="clear" w:color="auto" w:fill="F2F2F2"/>
            <w:noWrap/>
            <w:vAlign w:val="center"/>
            <w:hideMark/>
          </w:tcPr>
          <w:p w:rsidR="007A5850" w:rsidRDefault="007A5850"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1,293,846,575</w:t>
            </w:r>
          </w:p>
          <w:p w:rsidR="00A92B48" w:rsidRPr="003E15CE" w:rsidRDefault="00A92B48"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0</w:t>
            </w:r>
          </w:p>
        </w:tc>
      </w:tr>
    </w:tbl>
    <w:p w:rsidR="007A5850" w:rsidRPr="003E15CE" w:rsidRDefault="007A5850" w:rsidP="007A5850">
      <w:pPr>
        <w:pStyle w:val="TEXTONORMAL"/>
        <w:jc w:val="center"/>
        <w:rPr>
          <w:b/>
        </w:rPr>
      </w:pPr>
    </w:p>
    <w:tbl>
      <w:tblPr>
        <w:tblW w:w="9723" w:type="dxa"/>
        <w:jc w:val="center"/>
        <w:tblInd w:w="742" w:type="dxa"/>
        <w:tblCellMar>
          <w:left w:w="70" w:type="dxa"/>
          <w:right w:w="70" w:type="dxa"/>
        </w:tblCellMar>
        <w:tblLook w:val="04A0" w:firstRow="1" w:lastRow="0" w:firstColumn="1" w:lastColumn="0" w:noHBand="0" w:noVBand="1"/>
      </w:tblPr>
      <w:tblGrid>
        <w:gridCol w:w="4055"/>
        <w:gridCol w:w="1985"/>
        <w:gridCol w:w="469"/>
        <w:gridCol w:w="3214"/>
      </w:tblGrid>
      <w:tr w:rsidR="003E15CE" w:rsidRPr="003E15CE" w:rsidTr="00B26D50">
        <w:trPr>
          <w:cantSplit/>
          <w:jc w:val="center"/>
        </w:trPr>
        <w:tc>
          <w:tcPr>
            <w:tcW w:w="2085" w:type="pct"/>
            <w:tcBorders>
              <w:right w:val="single" w:sz="8" w:space="0" w:color="FFFFFF"/>
            </w:tcBorders>
            <w:shd w:val="clear" w:color="auto" w:fill="D4C19C"/>
            <w:vAlign w:val="center"/>
          </w:tcPr>
          <w:p w:rsidR="000A3875" w:rsidRPr="003E15CE" w:rsidRDefault="000A3875" w:rsidP="001C76AE">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REGISTRO CONTABLE</w:t>
            </w:r>
          </w:p>
        </w:tc>
        <w:tc>
          <w:tcPr>
            <w:tcW w:w="1262" w:type="pct"/>
            <w:gridSpan w:val="2"/>
            <w:tcBorders>
              <w:left w:val="single" w:sz="8" w:space="0" w:color="FFFFFF"/>
              <w:right w:val="single" w:sz="8" w:space="0" w:color="FFFFFF"/>
            </w:tcBorders>
            <w:shd w:val="clear" w:color="auto" w:fill="D4C19C"/>
            <w:vAlign w:val="center"/>
          </w:tcPr>
          <w:p w:rsidR="000A3875" w:rsidRPr="003E15CE" w:rsidRDefault="000A3875" w:rsidP="001C76AE">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VALOR DE LA RELACION DE BIENES INMUEBLES</w:t>
            </w:r>
          </w:p>
        </w:tc>
        <w:tc>
          <w:tcPr>
            <w:tcW w:w="1653" w:type="pct"/>
            <w:tcBorders>
              <w:left w:val="single" w:sz="8" w:space="0" w:color="FFFFFF"/>
              <w:right w:val="single" w:sz="8" w:space="0" w:color="FFFFFF"/>
            </w:tcBorders>
            <w:shd w:val="clear" w:color="auto" w:fill="D4C19C"/>
            <w:vAlign w:val="center"/>
          </w:tcPr>
          <w:p w:rsidR="000A3875" w:rsidRPr="003E15CE" w:rsidRDefault="000A3875" w:rsidP="001C76AE">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CONCILIACION</w:t>
            </w:r>
          </w:p>
        </w:tc>
      </w:tr>
      <w:tr w:rsidR="003E15CE" w:rsidRPr="003E15CE" w:rsidTr="00B26D50">
        <w:trPr>
          <w:cantSplit/>
          <w:trHeight w:val="70"/>
          <w:jc w:val="center"/>
        </w:trPr>
        <w:tc>
          <w:tcPr>
            <w:tcW w:w="2085" w:type="pct"/>
            <w:tcBorders>
              <w:bottom w:val="double" w:sz="12" w:space="0" w:color="808080"/>
            </w:tcBorders>
            <w:shd w:val="clear" w:color="auto" w:fill="auto"/>
            <w:vAlign w:val="center"/>
          </w:tcPr>
          <w:p w:rsidR="000A3875" w:rsidRPr="003E15CE" w:rsidRDefault="000A3875" w:rsidP="001C76AE">
            <w:pPr>
              <w:spacing w:after="0" w:line="40" w:lineRule="atLeast"/>
              <w:jc w:val="center"/>
              <w:rPr>
                <w:rFonts w:ascii="Montserrat" w:hAnsi="Montserrat"/>
                <w:b/>
                <w:bCs/>
                <w:sz w:val="18"/>
                <w:szCs w:val="18"/>
                <w:lang w:eastAsia="es-MX"/>
              </w:rPr>
            </w:pPr>
          </w:p>
        </w:tc>
        <w:tc>
          <w:tcPr>
            <w:tcW w:w="1021" w:type="pct"/>
            <w:tcBorders>
              <w:bottom w:val="double" w:sz="12" w:space="0" w:color="808080"/>
            </w:tcBorders>
            <w:shd w:val="clear" w:color="auto" w:fill="auto"/>
            <w:vAlign w:val="center"/>
          </w:tcPr>
          <w:p w:rsidR="000A3875" w:rsidRPr="003E15CE" w:rsidRDefault="000A3875" w:rsidP="001C76AE">
            <w:pPr>
              <w:spacing w:after="0" w:line="40" w:lineRule="atLeast"/>
              <w:jc w:val="center"/>
              <w:rPr>
                <w:rFonts w:ascii="Montserrat" w:hAnsi="Montserrat"/>
                <w:b/>
                <w:bCs/>
                <w:sz w:val="18"/>
                <w:szCs w:val="18"/>
                <w:lang w:eastAsia="es-MX"/>
              </w:rPr>
            </w:pPr>
          </w:p>
        </w:tc>
        <w:tc>
          <w:tcPr>
            <w:tcW w:w="1894" w:type="pct"/>
            <w:gridSpan w:val="2"/>
            <w:tcBorders>
              <w:bottom w:val="double" w:sz="12" w:space="0" w:color="808080"/>
            </w:tcBorders>
            <w:shd w:val="clear" w:color="auto" w:fill="auto"/>
            <w:vAlign w:val="center"/>
          </w:tcPr>
          <w:p w:rsidR="000A3875" w:rsidRPr="003E15CE" w:rsidRDefault="000A3875" w:rsidP="001C76AE">
            <w:pPr>
              <w:spacing w:after="0" w:line="40" w:lineRule="atLeast"/>
              <w:jc w:val="center"/>
              <w:rPr>
                <w:rFonts w:ascii="Montserrat" w:hAnsi="Montserrat"/>
                <w:b/>
                <w:bCs/>
                <w:sz w:val="18"/>
                <w:szCs w:val="18"/>
                <w:lang w:eastAsia="es-MX"/>
              </w:rPr>
            </w:pPr>
          </w:p>
        </w:tc>
      </w:tr>
      <w:tr w:rsidR="003E15CE" w:rsidRPr="003E15CE" w:rsidTr="00B26D50">
        <w:trPr>
          <w:cantSplit/>
          <w:jc w:val="center"/>
        </w:trPr>
        <w:tc>
          <w:tcPr>
            <w:tcW w:w="2085" w:type="pct"/>
            <w:shd w:val="clear" w:color="auto" w:fill="F2F2F2"/>
            <w:noWrap/>
            <w:vAlign w:val="center"/>
          </w:tcPr>
          <w:p w:rsidR="000A3875" w:rsidRPr="003E15CE" w:rsidRDefault="006849A8" w:rsidP="00002F9E">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1,516,861,670</w:t>
            </w:r>
          </w:p>
        </w:tc>
        <w:tc>
          <w:tcPr>
            <w:tcW w:w="1021" w:type="pct"/>
            <w:shd w:val="clear" w:color="auto" w:fill="F2F2F2"/>
            <w:noWrap/>
            <w:vAlign w:val="center"/>
          </w:tcPr>
          <w:p w:rsidR="000A3875" w:rsidRPr="003E15CE" w:rsidRDefault="000A3875" w:rsidP="001C76AE">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176,519,000</w:t>
            </w:r>
          </w:p>
        </w:tc>
        <w:tc>
          <w:tcPr>
            <w:tcW w:w="1894" w:type="pct"/>
            <w:gridSpan w:val="2"/>
            <w:shd w:val="clear" w:color="auto" w:fill="F2F2F2"/>
            <w:noWrap/>
            <w:vAlign w:val="center"/>
          </w:tcPr>
          <w:p w:rsidR="000A3875" w:rsidRPr="003E15CE" w:rsidRDefault="000A3875" w:rsidP="006849A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w:t>
            </w:r>
            <w:r w:rsidR="006849A8">
              <w:rPr>
                <w:rFonts w:ascii="Montserrat" w:hAnsi="Montserrat"/>
                <w:bCs/>
                <w:color w:val="000000"/>
                <w:sz w:val="18"/>
                <w:szCs w:val="18"/>
              </w:rPr>
              <w:t>340,342,670</w:t>
            </w:r>
          </w:p>
        </w:tc>
      </w:tr>
    </w:tbl>
    <w:p w:rsidR="000A3875" w:rsidRDefault="000A3875" w:rsidP="007A5850">
      <w:pPr>
        <w:pStyle w:val="TEXTONORMAL"/>
        <w:jc w:val="center"/>
        <w:rPr>
          <w:b/>
          <w:sz w:val="16"/>
          <w:szCs w:val="16"/>
        </w:rPr>
      </w:pPr>
    </w:p>
    <w:p w:rsidR="000A3875" w:rsidRPr="003E15CE" w:rsidRDefault="000A3875" w:rsidP="000A3875">
      <w:pPr>
        <w:pStyle w:val="TEXTONORMAL"/>
      </w:pPr>
      <w:r w:rsidRPr="003E15CE">
        <w:t>Es importante mencionar que en el ejercicio 2022, se realizarán las gestiones necesarias ante el Instituto de Administración y Avalúos de Bienes Nacionales (INDABIN) para hacer el avalúo correspondiente del bien inmueble, para actualizar las cifras de estos ya que estos muestran valores determinados de ejercicios anteriores. Así mismo se enfatiza que, durante el ejercicio se realizó avalúo, para conocer el valor catastral, el cual es inferior en más de un 40% a los valores registrados.</w:t>
      </w:r>
    </w:p>
    <w:p w:rsidR="007A5850" w:rsidRPr="003E15CE" w:rsidRDefault="007A5850" w:rsidP="007A5850">
      <w:pPr>
        <w:pStyle w:val="TEXTONORMAL"/>
        <w:jc w:val="center"/>
        <w:rPr>
          <w:b/>
        </w:rPr>
      </w:pPr>
      <w:r w:rsidRPr="003E15CE">
        <w:rPr>
          <w:b/>
        </w:rPr>
        <w:t xml:space="preserve"> Intangibles</w:t>
      </w:r>
    </w:p>
    <w:tbl>
      <w:tblPr>
        <w:tblW w:w="9458" w:type="dxa"/>
        <w:jc w:val="center"/>
        <w:tblInd w:w="-517" w:type="dxa"/>
        <w:tblCellMar>
          <w:left w:w="70" w:type="dxa"/>
          <w:right w:w="70" w:type="dxa"/>
        </w:tblCellMar>
        <w:tblLook w:val="04A0" w:firstRow="1" w:lastRow="0" w:firstColumn="1" w:lastColumn="0" w:noHBand="0" w:noVBand="1"/>
      </w:tblPr>
      <w:tblGrid>
        <w:gridCol w:w="4081"/>
        <w:gridCol w:w="2260"/>
        <w:gridCol w:w="3117"/>
      </w:tblGrid>
      <w:tr w:rsidR="007A5850" w:rsidRPr="003E15CE" w:rsidTr="00B26D50">
        <w:trPr>
          <w:cantSplit/>
          <w:jc w:val="center"/>
        </w:trPr>
        <w:tc>
          <w:tcPr>
            <w:tcW w:w="2157"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1195"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648"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B26D50">
        <w:trPr>
          <w:cantSplit/>
          <w:trHeight w:val="70"/>
          <w:jc w:val="center"/>
        </w:trPr>
        <w:tc>
          <w:tcPr>
            <w:tcW w:w="2157"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195"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648"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6849A8" w:rsidRPr="003E15CE" w:rsidTr="00B26D50">
        <w:trPr>
          <w:cantSplit/>
          <w:jc w:val="center"/>
        </w:trPr>
        <w:tc>
          <w:tcPr>
            <w:tcW w:w="2157" w:type="pct"/>
            <w:tcBorders>
              <w:top w:val="double" w:sz="12" w:space="0" w:color="808080"/>
              <w:left w:val="nil"/>
              <w:bottom w:val="nil"/>
              <w:right w:val="nil"/>
            </w:tcBorders>
            <w:shd w:val="clear" w:color="auto" w:fill="F2F2F2"/>
            <w:noWrap/>
            <w:vAlign w:val="center"/>
            <w:hideMark/>
          </w:tcPr>
          <w:p w:rsidR="006849A8" w:rsidRPr="003E15CE" w:rsidRDefault="006849A8"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1195" w:type="pct"/>
            <w:tcBorders>
              <w:top w:val="double" w:sz="12" w:space="0" w:color="808080"/>
              <w:left w:val="nil"/>
              <w:bottom w:val="nil"/>
              <w:right w:val="nil"/>
            </w:tcBorders>
            <w:shd w:val="clear" w:color="auto" w:fill="F2F2F2"/>
            <w:vAlign w:val="center"/>
            <w:hideMark/>
          </w:tcPr>
          <w:p w:rsidR="006849A8" w:rsidRPr="006849A8" w:rsidRDefault="006849A8" w:rsidP="001E0E59">
            <w:pPr>
              <w:spacing w:before="20" w:after="20" w:line="240" w:lineRule="auto"/>
              <w:jc w:val="right"/>
              <w:rPr>
                <w:rFonts w:ascii="Montserrat" w:hAnsi="Montserrat"/>
                <w:b/>
                <w:bCs/>
                <w:color w:val="000000"/>
                <w:sz w:val="18"/>
                <w:szCs w:val="18"/>
              </w:rPr>
            </w:pPr>
            <w:r w:rsidRPr="006849A8">
              <w:rPr>
                <w:rFonts w:ascii="Montserrat" w:hAnsi="Montserrat"/>
                <w:b/>
                <w:bCs/>
                <w:color w:val="000000"/>
                <w:sz w:val="18"/>
                <w:szCs w:val="18"/>
              </w:rPr>
              <w:t>156,728</w:t>
            </w:r>
          </w:p>
        </w:tc>
        <w:tc>
          <w:tcPr>
            <w:tcW w:w="1648" w:type="pct"/>
            <w:tcBorders>
              <w:top w:val="double" w:sz="12" w:space="0" w:color="808080"/>
              <w:left w:val="nil"/>
              <w:bottom w:val="nil"/>
              <w:right w:val="nil"/>
            </w:tcBorders>
            <w:shd w:val="clear" w:color="auto" w:fill="F2F2F2"/>
            <w:vAlign w:val="center"/>
            <w:hideMark/>
          </w:tcPr>
          <w:p w:rsidR="006849A8" w:rsidRPr="006849A8" w:rsidRDefault="006849A8" w:rsidP="009846C8">
            <w:pPr>
              <w:spacing w:before="20" w:after="20" w:line="240" w:lineRule="auto"/>
              <w:jc w:val="right"/>
              <w:rPr>
                <w:rFonts w:ascii="Montserrat" w:hAnsi="Montserrat"/>
                <w:b/>
                <w:bCs/>
                <w:color w:val="000000"/>
                <w:sz w:val="18"/>
                <w:szCs w:val="18"/>
              </w:rPr>
            </w:pPr>
            <w:r w:rsidRPr="006849A8">
              <w:rPr>
                <w:rFonts w:ascii="Montserrat" w:hAnsi="Montserrat"/>
                <w:b/>
                <w:bCs/>
                <w:color w:val="000000"/>
                <w:sz w:val="18"/>
                <w:szCs w:val="18"/>
              </w:rPr>
              <w:t>156,728</w:t>
            </w:r>
          </w:p>
        </w:tc>
      </w:tr>
      <w:tr w:rsidR="006849A8" w:rsidRPr="003E15CE" w:rsidTr="00B26D50">
        <w:trPr>
          <w:cantSplit/>
          <w:jc w:val="center"/>
        </w:trPr>
        <w:tc>
          <w:tcPr>
            <w:tcW w:w="2157" w:type="pct"/>
            <w:shd w:val="clear" w:color="auto" w:fill="F2F2F2"/>
            <w:noWrap/>
            <w:vAlign w:val="center"/>
            <w:hideMark/>
          </w:tcPr>
          <w:p w:rsidR="006849A8" w:rsidRPr="003E15CE" w:rsidRDefault="006849A8"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Licencias</w:t>
            </w:r>
          </w:p>
        </w:tc>
        <w:tc>
          <w:tcPr>
            <w:tcW w:w="1195" w:type="pct"/>
            <w:shd w:val="clear" w:color="auto" w:fill="F2F2F2"/>
            <w:noWrap/>
            <w:vAlign w:val="center"/>
            <w:hideMark/>
          </w:tcPr>
          <w:p w:rsidR="006849A8" w:rsidRPr="003E15CE" w:rsidRDefault="006849A8" w:rsidP="001E0E59">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156,728</w:t>
            </w:r>
          </w:p>
        </w:tc>
        <w:tc>
          <w:tcPr>
            <w:tcW w:w="1648" w:type="pct"/>
            <w:shd w:val="clear" w:color="auto" w:fill="F2F2F2"/>
            <w:noWrap/>
            <w:vAlign w:val="center"/>
            <w:hideMark/>
          </w:tcPr>
          <w:p w:rsidR="006849A8" w:rsidRPr="003E15CE" w:rsidRDefault="006849A8"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156,728</w:t>
            </w:r>
          </w:p>
        </w:tc>
      </w:tr>
    </w:tbl>
    <w:p w:rsidR="00B26D50" w:rsidRDefault="00B26D50" w:rsidP="007A5850">
      <w:pPr>
        <w:pStyle w:val="TEXTONORMAL"/>
        <w:jc w:val="center"/>
        <w:rPr>
          <w:b/>
        </w:rPr>
      </w:pPr>
    </w:p>
    <w:p w:rsidR="007A5850" w:rsidRPr="003E15CE" w:rsidRDefault="007A5850" w:rsidP="007A5850">
      <w:pPr>
        <w:pStyle w:val="TEXTONORMAL"/>
        <w:jc w:val="center"/>
        <w:rPr>
          <w:b/>
        </w:rPr>
      </w:pPr>
      <w:r w:rsidRPr="003E15CE">
        <w:rPr>
          <w:b/>
        </w:rPr>
        <w:t xml:space="preserve"> Depreciación</w:t>
      </w:r>
    </w:p>
    <w:tbl>
      <w:tblPr>
        <w:tblW w:w="9422" w:type="dxa"/>
        <w:jc w:val="center"/>
        <w:tblInd w:w="-375" w:type="dxa"/>
        <w:tblCellMar>
          <w:left w:w="70" w:type="dxa"/>
          <w:right w:w="70" w:type="dxa"/>
        </w:tblCellMar>
        <w:tblLook w:val="04A0" w:firstRow="1" w:lastRow="0" w:firstColumn="1" w:lastColumn="0" w:noHBand="0" w:noVBand="1"/>
      </w:tblPr>
      <w:tblGrid>
        <w:gridCol w:w="3938"/>
        <w:gridCol w:w="2252"/>
        <w:gridCol w:w="3232"/>
      </w:tblGrid>
      <w:tr w:rsidR="007A5850" w:rsidRPr="003E15CE" w:rsidTr="00B26D50">
        <w:trPr>
          <w:cantSplit/>
          <w:jc w:val="center"/>
        </w:trPr>
        <w:tc>
          <w:tcPr>
            <w:tcW w:w="2090"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1195"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715"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B26D50">
        <w:trPr>
          <w:cantSplit/>
          <w:trHeight w:val="70"/>
          <w:jc w:val="center"/>
        </w:trPr>
        <w:tc>
          <w:tcPr>
            <w:tcW w:w="209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195"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715"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6849A8" w:rsidRPr="003E15CE" w:rsidTr="00B26D50">
        <w:trPr>
          <w:cantSplit/>
          <w:jc w:val="center"/>
        </w:trPr>
        <w:tc>
          <w:tcPr>
            <w:tcW w:w="2090" w:type="pct"/>
            <w:tcBorders>
              <w:top w:val="double" w:sz="12" w:space="0" w:color="808080"/>
              <w:left w:val="nil"/>
              <w:bottom w:val="nil"/>
              <w:right w:val="nil"/>
            </w:tcBorders>
            <w:shd w:val="clear" w:color="auto" w:fill="F2F2F2"/>
            <w:noWrap/>
            <w:vAlign w:val="center"/>
            <w:hideMark/>
          </w:tcPr>
          <w:p w:rsidR="006849A8" w:rsidRPr="003E15CE" w:rsidRDefault="006849A8"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1195" w:type="pct"/>
            <w:tcBorders>
              <w:top w:val="double" w:sz="12" w:space="0" w:color="808080"/>
              <w:left w:val="nil"/>
              <w:bottom w:val="nil"/>
              <w:right w:val="nil"/>
            </w:tcBorders>
            <w:shd w:val="clear" w:color="auto" w:fill="F2F2F2"/>
            <w:vAlign w:val="center"/>
          </w:tcPr>
          <w:p w:rsidR="006849A8" w:rsidRPr="003E15CE" w:rsidRDefault="006849A8"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756,705,103</w:t>
            </w:r>
          </w:p>
        </w:tc>
        <w:tc>
          <w:tcPr>
            <w:tcW w:w="1715" w:type="pct"/>
            <w:tcBorders>
              <w:top w:val="double" w:sz="12" w:space="0" w:color="808080"/>
              <w:left w:val="nil"/>
              <w:bottom w:val="nil"/>
              <w:right w:val="nil"/>
            </w:tcBorders>
            <w:shd w:val="clear" w:color="auto" w:fill="F2F2F2"/>
            <w:vAlign w:val="center"/>
            <w:hideMark/>
          </w:tcPr>
          <w:p w:rsidR="006849A8" w:rsidRPr="003E15CE" w:rsidRDefault="006849A8" w:rsidP="009846C8">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701,454,525</w:t>
            </w:r>
          </w:p>
        </w:tc>
      </w:tr>
      <w:tr w:rsidR="006849A8" w:rsidRPr="003E15CE" w:rsidTr="00B26D50">
        <w:trPr>
          <w:cantSplit/>
          <w:jc w:val="center"/>
        </w:trPr>
        <w:tc>
          <w:tcPr>
            <w:tcW w:w="2090" w:type="pct"/>
            <w:shd w:val="clear" w:color="auto" w:fill="F2F2F2"/>
            <w:noWrap/>
            <w:vAlign w:val="center"/>
            <w:hideMark/>
          </w:tcPr>
          <w:p w:rsidR="006849A8" w:rsidRPr="003E15CE" w:rsidRDefault="006849A8"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Depreciación Acumulada</w:t>
            </w:r>
          </w:p>
        </w:tc>
        <w:tc>
          <w:tcPr>
            <w:tcW w:w="1195" w:type="pct"/>
            <w:shd w:val="clear" w:color="auto" w:fill="F2F2F2"/>
            <w:noWrap/>
            <w:vAlign w:val="center"/>
          </w:tcPr>
          <w:p w:rsidR="006849A8" w:rsidRPr="003E15CE" w:rsidRDefault="006849A8"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756,705,103</w:t>
            </w:r>
          </w:p>
        </w:tc>
        <w:tc>
          <w:tcPr>
            <w:tcW w:w="1715" w:type="pct"/>
            <w:shd w:val="clear" w:color="auto" w:fill="F2F2F2"/>
            <w:noWrap/>
            <w:vAlign w:val="center"/>
            <w:hideMark/>
          </w:tcPr>
          <w:p w:rsidR="006849A8" w:rsidRPr="003E15CE" w:rsidRDefault="006849A8"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701,454,525</w:t>
            </w:r>
          </w:p>
        </w:tc>
      </w:tr>
    </w:tbl>
    <w:p w:rsidR="007A5850" w:rsidRPr="003E15CE" w:rsidRDefault="007A5850" w:rsidP="007A5850">
      <w:pPr>
        <w:pStyle w:val="TEXTONORMAL"/>
      </w:pPr>
    </w:p>
    <w:p w:rsidR="007A5850" w:rsidRPr="003E15CE" w:rsidRDefault="007A5850" w:rsidP="007A5850">
      <w:pPr>
        <w:pStyle w:val="TEXTONORMAL"/>
      </w:pPr>
    </w:p>
    <w:p w:rsidR="007A5850" w:rsidRPr="003E15CE" w:rsidRDefault="007A5850" w:rsidP="007A5850">
      <w:pPr>
        <w:pStyle w:val="TEXTONORMAL"/>
      </w:pPr>
      <w:r w:rsidRPr="003E15CE">
        <w:lastRenderedPageBreak/>
        <w:t>La depreciación de los inmuebles, mobiliario y equipo se calcula por el método de línea recta aplicando las tasas señaladas con anterioridad conforme a la Ley del Impuesto Sobre la Renta, utilizando para ello las tasas establecidas.</w:t>
      </w:r>
    </w:p>
    <w:p w:rsidR="007A5850" w:rsidRPr="003E15CE" w:rsidRDefault="007A5850" w:rsidP="007A5850">
      <w:pPr>
        <w:pStyle w:val="TEXTONORMAL"/>
      </w:pPr>
      <w:r w:rsidRPr="003E15CE">
        <w:t xml:space="preserve">La depreciación </w:t>
      </w:r>
      <w:r w:rsidR="000505F9">
        <w:t xml:space="preserve">al tercer trimestre del </w:t>
      </w:r>
      <w:r w:rsidRPr="003E15CE">
        <w:t xml:space="preserve"> ejercicio 202</w:t>
      </w:r>
      <w:r w:rsidR="000505F9">
        <w:t>2</w:t>
      </w:r>
      <w:r w:rsidRPr="003E15CE">
        <w:t xml:space="preserve"> fue de </w:t>
      </w:r>
      <w:r w:rsidR="000505F9">
        <w:t>55</w:t>
      </w:r>
      <w:proofErr w:type="gramStart"/>
      <w:r w:rsidR="000505F9">
        <w:t>,250,578</w:t>
      </w:r>
      <w:proofErr w:type="gramEnd"/>
      <w:r w:rsidRPr="003E15CE">
        <w:t xml:space="preserve"> y la depreciación del ejercicio 202</w:t>
      </w:r>
      <w:r w:rsidR="000505F9">
        <w:t>1</w:t>
      </w:r>
      <w:r w:rsidRPr="003E15CE">
        <w:t xml:space="preserve"> de </w:t>
      </w:r>
      <w:r w:rsidR="000505F9">
        <w:t>73,770,969</w:t>
      </w:r>
    </w:p>
    <w:p w:rsidR="007A5850" w:rsidRPr="003E15CE" w:rsidRDefault="007A5850" w:rsidP="007A5850">
      <w:pPr>
        <w:pStyle w:val="TEXTONORMAL"/>
      </w:pPr>
    </w:p>
    <w:p w:rsidR="007A5850" w:rsidRPr="003E15CE" w:rsidRDefault="007A5850" w:rsidP="007A5850">
      <w:pPr>
        <w:pStyle w:val="TEXTONORMAL"/>
        <w:numPr>
          <w:ilvl w:val="0"/>
          <w:numId w:val="16"/>
        </w:numPr>
      </w:pPr>
      <w:r w:rsidRPr="003E15CE">
        <w:t>Estimaciones y deterioros</w:t>
      </w:r>
    </w:p>
    <w:p w:rsidR="007A5850" w:rsidRPr="003E15CE" w:rsidRDefault="007A5850" w:rsidP="007A5850">
      <w:pPr>
        <w:pStyle w:val="TEXTONORMAL"/>
      </w:pPr>
      <w:r w:rsidRPr="003E15CE">
        <w:t>Sin información a revelar</w:t>
      </w:r>
    </w:p>
    <w:p w:rsidR="007A5850" w:rsidRPr="003E15CE" w:rsidRDefault="007A5850" w:rsidP="007A5850">
      <w:pPr>
        <w:pStyle w:val="TEXTONORMAL"/>
        <w:numPr>
          <w:ilvl w:val="0"/>
          <w:numId w:val="16"/>
        </w:numPr>
      </w:pPr>
      <w:r w:rsidRPr="003E15CE">
        <w:t>Otros Activos</w:t>
      </w:r>
    </w:p>
    <w:p w:rsidR="007A5850" w:rsidRPr="003E15CE" w:rsidRDefault="007A5850" w:rsidP="007A5850">
      <w:pPr>
        <w:pStyle w:val="TEXTONORMAL"/>
      </w:pPr>
      <w:r w:rsidRPr="003E15CE">
        <w:t>Sin información a revelar</w:t>
      </w:r>
    </w:p>
    <w:p w:rsidR="007A5850" w:rsidRPr="003E15CE" w:rsidRDefault="007A5850" w:rsidP="007A5850">
      <w:pPr>
        <w:pStyle w:val="TEXTONORMAL"/>
        <w:numPr>
          <w:ilvl w:val="0"/>
          <w:numId w:val="15"/>
        </w:numPr>
      </w:pPr>
      <w:r w:rsidRPr="003E15CE">
        <w:t>PASIVO</w:t>
      </w:r>
    </w:p>
    <w:p w:rsidR="007A5850" w:rsidRPr="003E15CE" w:rsidRDefault="007A5850" w:rsidP="007A5850">
      <w:pPr>
        <w:pStyle w:val="TEXTONORMAL"/>
        <w:ind w:left="3545" w:firstLine="709"/>
        <w:rPr>
          <w:b/>
        </w:rPr>
      </w:pPr>
      <w:r w:rsidRPr="003E15CE">
        <w:rPr>
          <w:b/>
        </w:rPr>
        <w:t xml:space="preserve">Cuentas y provisiones por pagar a corto plazo </w:t>
      </w:r>
    </w:p>
    <w:tbl>
      <w:tblPr>
        <w:tblW w:w="10407" w:type="dxa"/>
        <w:jc w:val="center"/>
        <w:tblCellMar>
          <w:left w:w="70" w:type="dxa"/>
          <w:right w:w="70" w:type="dxa"/>
        </w:tblCellMar>
        <w:tblLook w:val="04A0" w:firstRow="1" w:lastRow="0" w:firstColumn="1" w:lastColumn="0" w:noHBand="0" w:noVBand="1"/>
      </w:tblPr>
      <w:tblGrid>
        <w:gridCol w:w="2958"/>
        <w:gridCol w:w="1415"/>
        <w:gridCol w:w="2125"/>
        <w:gridCol w:w="1986"/>
        <w:gridCol w:w="1923"/>
      </w:tblGrid>
      <w:tr w:rsidR="007A5850" w:rsidRPr="003E15CE" w:rsidTr="001E0E59">
        <w:trPr>
          <w:cantSplit/>
          <w:jc w:val="center"/>
        </w:trPr>
        <w:tc>
          <w:tcPr>
            <w:tcW w:w="1421"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680"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90 DIAS</w:t>
            </w:r>
          </w:p>
        </w:tc>
        <w:tc>
          <w:tcPr>
            <w:tcW w:w="1021"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180 DIAS</w:t>
            </w:r>
          </w:p>
        </w:tc>
        <w:tc>
          <w:tcPr>
            <w:tcW w:w="954" w:type="pct"/>
            <w:tcBorders>
              <w:top w:val="nil"/>
              <w:left w:val="single" w:sz="8" w:space="0" w:color="FFFFFF"/>
              <w:bottom w:val="nil"/>
              <w:right w:val="single" w:sz="8" w:space="0" w:color="FFFFFF"/>
            </w:tcBorders>
            <w:shd w:val="clear" w:color="auto" w:fill="D4C19C"/>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365 DIAS</w:t>
            </w:r>
          </w:p>
        </w:tc>
        <w:tc>
          <w:tcPr>
            <w:tcW w:w="924" w:type="pct"/>
            <w:tcBorders>
              <w:top w:val="nil"/>
              <w:left w:val="single" w:sz="8" w:space="0" w:color="FFFFFF"/>
              <w:bottom w:val="nil"/>
              <w:right w:val="single" w:sz="8" w:space="0" w:color="FFFFFF"/>
            </w:tcBorders>
            <w:shd w:val="clear" w:color="auto" w:fill="D4C19C"/>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TOTAL 202</w:t>
            </w:r>
            <w:r w:rsidR="00FF572A">
              <w:rPr>
                <w:rFonts w:ascii="Montserrat" w:hAnsi="Montserrat"/>
                <w:b/>
                <w:bCs/>
                <w:color w:val="FFFFFF"/>
                <w:sz w:val="18"/>
                <w:szCs w:val="18"/>
                <w:lang w:eastAsia="es-MX"/>
              </w:rPr>
              <w:t>2</w:t>
            </w:r>
          </w:p>
        </w:tc>
      </w:tr>
      <w:tr w:rsidR="007A5850" w:rsidRPr="003E15CE" w:rsidTr="001E0E59">
        <w:trPr>
          <w:cantSplit/>
          <w:trHeight w:val="70"/>
          <w:jc w:val="center"/>
        </w:trPr>
        <w:tc>
          <w:tcPr>
            <w:tcW w:w="1421"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68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021"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54" w:type="pct"/>
            <w:tcBorders>
              <w:top w:val="nil"/>
              <w:left w:val="nil"/>
              <w:bottom w:val="double" w:sz="12" w:space="0" w:color="808080"/>
              <w:right w:val="nil"/>
            </w:tcBorders>
          </w:tcPr>
          <w:p w:rsidR="007A5850" w:rsidRPr="003E15CE" w:rsidRDefault="007A5850" w:rsidP="001E0E59">
            <w:pPr>
              <w:spacing w:after="0" w:line="40" w:lineRule="atLeast"/>
              <w:jc w:val="center"/>
              <w:rPr>
                <w:rFonts w:ascii="Montserrat" w:hAnsi="Montserrat"/>
                <w:b/>
                <w:bCs/>
                <w:sz w:val="18"/>
                <w:szCs w:val="18"/>
                <w:lang w:eastAsia="es-MX"/>
              </w:rPr>
            </w:pPr>
          </w:p>
        </w:tc>
        <w:tc>
          <w:tcPr>
            <w:tcW w:w="924" w:type="pct"/>
            <w:tcBorders>
              <w:top w:val="nil"/>
              <w:left w:val="nil"/>
              <w:bottom w:val="double" w:sz="12" w:space="0" w:color="808080"/>
              <w:right w:val="nil"/>
            </w:tcBorders>
          </w:tcPr>
          <w:p w:rsidR="007A5850" w:rsidRPr="003E15CE" w:rsidRDefault="007A5850" w:rsidP="001E0E59">
            <w:pPr>
              <w:spacing w:after="0" w:line="40" w:lineRule="atLeast"/>
              <w:jc w:val="center"/>
              <w:rPr>
                <w:rFonts w:ascii="Montserrat" w:hAnsi="Montserrat"/>
                <w:b/>
                <w:bCs/>
                <w:sz w:val="18"/>
                <w:szCs w:val="18"/>
                <w:lang w:eastAsia="es-MX"/>
              </w:rPr>
            </w:pPr>
          </w:p>
        </w:tc>
      </w:tr>
      <w:tr w:rsidR="003B7CCA" w:rsidRPr="003E15CE" w:rsidTr="001E0E59">
        <w:trPr>
          <w:cantSplit/>
          <w:jc w:val="center"/>
        </w:trPr>
        <w:tc>
          <w:tcPr>
            <w:tcW w:w="1421" w:type="pct"/>
            <w:tcBorders>
              <w:top w:val="double" w:sz="12" w:space="0" w:color="808080"/>
              <w:left w:val="nil"/>
              <w:bottom w:val="nil"/>
              <w:right w:val="nil"/>
            </w:tcBorders>
            <w:shd w:val="clear" w:color="auto" w:fill="F2F2F2"/>
            <w:noWrap/>
            <w:vAlign w:val="center"/>
            <w:hideMark/>
          </w:tcPr>
          <w:p w:rsidR="003B7CCA" w:rsidRPr="003E15CE" w:rsidRDefault="003B7CCA"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680" w:type="pct"/>
            <w:tcBorders>
              <w:top w:val="double" w:sz="12" w:space="0" w:color="808080"/>
              <w:left w:val="nil"/>
              <w:bottom w:val="nil"/>
              <w:right w:val="nil"/>
            </w:tcBorders>
            <w:shd w:val="clear" w:color="auto" w:fill="F2F2F2"/>
            <w:vAlign w:val="center"/>
          </w:tcPr>
          <w:p w:rsidR="003B7CCA" w:rsidRPr="00531372" w:rsidRDefault="003B7CCA" w:rsidP="009846C8">
            <w:pPr>
              <w:spacing w:before="20" w:after="20" w:line="240" w:lineRule="auto"/>
              <w:jc w:val="right"/>
              <w:rPr>
                <w:rFonts w:ascii="Montserrat" w:hAnsi="Montserrat"/>
                <w:b/>
                <w:bCs/>
                <w:color w:val="000000"/>
                <w:sz w:val="18"/>
                <w:szCs w:val="18"/>
              </w:rPr>
            </w:pPr>
            <w:r w:rsidRPr="00531372">
              <w:rPr>
                <w:rFonts w:ascii="Montserrat" w:hAnsi="Montserrat"/>
                <w:b/>
                <w:bCs/>
                <w:color w:val="000000"/>
                <w:sz w:val="18"/>
                <w:szCs w:val="18"/>
              </w:rPr>
              <w:t>7,071,073</w:t>
            </w:r>
          </w:p>
        </w:tc>
        <w:tc>
          <w:tcPr>
            <w:tcW w:w="1021" w:type="pct"/>
            <w:tcBorders>
              <w:top w:val="double" w:sz="12" w:space="0" w:color="808080"/>
              <w:left w:val="nil"/>
              <w:bottom w:val="nil"/>
              <w:right w:val="nil"/>
            </w:tcBorders>
            <w:shd w:val="clear" w:color="auto" w:fill="F2F2F2"/>
            <w:vAlign w:val="center"/>
          </w:tcPr>
          <w:p w:rsidR="003B7CCA" w:rsidRPr="00531372" w:rsidRDefault="003B7CCA" w:rsidP="009846C8">
            <w:pPr>
              <w:spacing w:before="20" w:after="20" w:line="240" w:lineRule="auto"/>
              <w:jc w:val="right"/>
              <w:rPr>
                <w:rFonts w:ascii="Montserrat" w:hAnsi="Montserrat"/>
                <w:b/>
                <w:bCs/>
                <w:color w:val="000000"/>
                <w:sz w:val="18"/>
                <w:szCs w:val="18"/>
              </w:rPr>
            </w:pPr>
            <w:r w:rsidRPr="00531372">
              <w:rPr>
                <w:rFonts w:ascii="Montserrat" w:hAnsi="Montserrat"/>
                <w:b/>
                <w:bCs/>
                <w:color w:val="000000"/>
                <w:sz w:val="18"/>
                <w:szCs w:val="18"/>
              </w:rPr>
              <w:t>6,724,741</w:t>
            </w:r>
          </w:p>
        </w:tc>
        <w:tc>
          <w:tcPr>
            <w:tcW w:w="954" w:type="pct"/>
            <w:tcBorders>
              <w:top w:val="double" w:sz="12" w:space="0" w:color="808080"/>
              <w:left w:val="nil"/>
              <w:bottom w:val="nil"/>
              <w:right w:val="nil"/>
            </w:tcBorders>
            <w:shd w:val="clear" w:color="auto" w:fill="F2F2F2"/>
          </w:tcPr>
          <w:p w:rsidR="003B7CCA" w:rsidRPr="00531372" w:rsidRDefault="003B7CCA" w:rsidP="009846C8">
            <w:pPr>
              <w:spacing w:before="20" w:after="20" w:line="240" w:lineRule="auto"/>
              <w:jc w:val="right"/>
              <w:rPr>
                <w:rFonts w:ascii="Montserrat" w:hAnsi="Montserrat"/>
                <w:b/>
                <w:bCs/>
                <w:color w:val="000000"/>
                <w:sz w:val="18"/>
                <w:szCs w:val="18"/>
              </w:rPr>
            </w:pPr>
            <w:r w:rsidRPr="00531372">
              <w:rPr>
                <w:rFonts w:ascii="Montserrat" w:hAnsi="Montserrat"/>
                <w:b/>
                <w:bCs/>
                <w:color w:val="000000"/>
                <w:sz w:val="18"/>
                <w:szCs w:val="18"/>
              </w:rPr>
              <w:t>36,835,897</w:t>
            </w:r>
          </w:p>
        </w:tc>
        <w:tc>
          <w:tcPr>
            <w:tcW w:w="924" w:type="pct"/>
            <w:tcBorders>
              <w:top w:val="double" w:sz="12" w:space="0" w:color="808080"/>
              <w:left w:val="nil"/>
              <w:bottom w:val="nil"/>
              <w:right w:val="nil"/>
            </w:tcBorders>
            <w:shd w:val="clear" w:color="auto" w:fill="F2F2F2"/>
          </w:tcPr>
          <w:p w:rsidR="003B7CCA" w:rsidRPr="00531372" w:rsidRDefault="003B7CCA" w:rsidP="009846C8">
            <w:pPr>
              <w:spacing w:before="20" w:after="20" w:line="240" w:lineRule="auto"/>
              <w:jc w:val="right"/>
              <w:rPr>
                <w:rFonts w:ascii="Montserrat" w:hAnsi="Montserrat"/>
                <w:b/>
                <w:bCs/>
                <w:color w:val="000000"/>
                <w:sz w:val="18"/>
                <w:szCs w:val="18"/>
              </w:rPr>
            </w:pPr>
            <w:r w:rsidRPr="00531372">
              <w:rPr>
                <w:rFonts w:ascii="Montserrat" w:hAnsi="Montserrat"/>
                <w:b/>
                <w:bCs/>
                <w:color w:val="000000"/>
                <w:sz w:val="18"/>
                <w:szCs w:val="18"/>
              </w:rPr>
              <w:t>50</w:t>
            </w:r>
            <w:r>
              <w:rPr>
                <w:rFonts w:ascii="Montserrat" w:hAnsi="Montserrat"/>
                <w:b/>
                <w:bCs/>
                <w:color w:val="000000"/>
                <w:sz w:val="18"/>
                <w:szCs w:val="18"/>
              </w:rPr>
              <w:t>,</w:t>
            </w:r>
            <w:r w:rsidRPr="00531372">
              <w:rPr>
                <w:rFonts w:ascii="Montserrat" w:hAnsi="Montserrat"/>
                <w:b/>
                <w:bCs/>
                <w:color w:val="000000"/>
                <w:sz w:val="18"/>
                <w:szCs w:val="18"/>
              </w:rPr>
              <w:t>631</w:t>
            </w:r>
            <w:r>
              <w:rPr>
                <w:rFonts w:ascii="Montserrat" w:hAnsi="Montserrat"/>
                <w:b/>
                <w:bCs/>
                <w:color w:val="000000"/>
                <w:sz w:val="18"/>
                <w:szCs w:val="18"/>
              </w:rPr>
              <w:t>,</w:t>
            </w:r>
            <w:r w:rsidRPr="00531372">
              <w:rPr>
                <w:rFonts w:ascii="Montserrat" w:hAnsi="Montserrat"/>
                <w:b/>
                <w:bCs/>
                <w:color w:val="000000"/>
                <w:sz w:val="18"/>
                <w:szCs w:val="18"/>
              </w:rPr>
              <w:t>711</w:t>
            </w:r>
          </w:p>
        </w:tc>
      </w:tr>
      <w:tr w:rsidR="003B7CCA" w:rsidRPr="003E15CE" w:rsidTr="001E0E59">
        <w:trPr>
          <w:cantSplit/>
          <w:jc w:val="center"/>
        </w:trPr>
        <w:tc>
          <w:tcPr>
            <w:tcW w:w="1421" w:type="pct"/>
            <w:shd w:val="clear" w:color="auto" w:fill="F2F2F2"/>
            <w:noWrap/>
            <w:vAlign w:val="center"/>
            <w:hideMark/>
          </w:tcPr>
          <w:p w:rsidR="003B7CCA" w:rsidRPr="003E15CE" w:rsidRDefault="003B7CC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Proveedores</w:t>
            </w:r>
          </w:p>
        </w:tc>
        <w:tc>
          <w:tcPr>
            <w:tcW w:w="680" w:type="pct"/>
            <w:shd w:val="clear" w:color="auto" w:fill="F2F2F2"/>
            <w:noWrap/>
            <w:vAlign w:val="center"/>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1,922,670</w:t>
            </w:r>
          </w:p>
        </w:tc>
        <w:tc>
          <w:tcPr>
            <w:tcW w:w="1021" w:type="pct"/>
            <w:shd w:val="clear" w:color="auto" w:fill="F2F2F2"/>
            <w:noWrap/>
            <w:vAlign w:val="center"/>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1,527,978</w:t>
            </w:r>
          </w:p>
        </w:tc>
        <w:tc>
          <w:tcPr>
            <w:tcW w:w="954" w:type="pct"/>
            <w:shd w:val="clear" w:color="auto" w:fill="F2F2F2"/>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124,714</w:t>
            </w:r>
          </w:p>
        </w:tc>
        <w:tc>
          <w:tcPr>
            <w:tcW w:w="924" w:type="pct"/>
            <w:shd w:val="clear" w:color="auto" w:fill="F2F2F2"/>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3,575,362</w:t>
            </w:r>
          </w:p>
        </w:tc>
      </w:tr>
      <w:tr w:rsidR="003B7CCA" w:rsidRPr="003E15CE" w:rsidTr="001E0E59">
        <w:trPr>
          <w:cantSplit/>
          <w:jc w:val="center"/>
        </w:trPr>
        <w:tc>
          <w:tcPr>
            <w:tcW w:w="1421" w:type="pct"/>
            <w:shd w:val="clear" w:color="auto" w:fill="F2F2F2"/>
            <w:noWrap/>
            <w:vAlign w:val="center"/>
            <w:hideMark/>
          </w:tcPr>
          <w:p w:rsidR="003B7CCA" w:rsidRPr="003E15CE" w:rsidRDefault="003B7CC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Retenciones por Pagar</w:t>
            </w:r>
          </w:p>
        </w:tc>
        <w:tc>
          <w:tcPr>
            <w:tcW w:w="680" w:type="pct"/>
            <w:shd w:val="clear" w:color="auto" w:fill="F2F2F2"/>
            <w:noWrap/>
            <w:vAlign w:val="center"/>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1,841,968</w:t>
            </w:r>
          </w:p>
        </w:tc>
        <w:tc>
          <w:tcPr>
            <w:tcW w:w="1021" w:type="pct"/>
            <w:shd w:val="clear" w:color="auto" w:fill="F2F2F2"/>
            <w:noWrap/>
            <w:vAlign w:val="center"/>
          </w:tcPr>
          <w:p w:rsidR="003B7CCA" w:rsidRPr="003E15CE" w:rsidRDefault="003B7CCA" w:rsidP="009846C8">
            <w:pPr>
              <w:spacing w:before="20" w:after="20" w:line="240" w:lineRule="auto"/>
              <w:jc w:val="right"/>
              <w:rPr>
                <w:rFonts w:ascii="Montserrat" w:hAnsi="Montserrat"/>
                <w:bCs/>
                <w:color w:val="000000"/>
                <w:sz w:val="18"/>
                <w:szCs w:val="18"/>
              </w:rPr>
            </w:pPr>
          </w:p>
        </w:tc>
        <w:tc>
          <w:tcPr>
            <w:tcW w:w="954" w:type="pct"/>
            <w:shd w:val="clear" w:color="auto" w:fill="F2F2F2"/>
          </w:tcPr>
          <w:p w:rsidR="003B7CCA" w:rsidRPr="003E15CE" w:rsidRDefault="003B7CCA" w:rsidP="009846C8">
            <w:pPr>
              <w:spacing w:before="20" w:after="20" w:line="240" w:lineRule="auto"/>
              <w:jc w:val="right"/>
              <w:rPr>
                <w:rFonts w:ascii="Montserrat" w:hAnsi="Montserrat"/>
                <w:bCs/>
                <w:color w:val="000000"/>
                <w:sz w:val="18"/>
                <w:szCs w:val="18"/>
              </w:rPr>
            </w:pPr>
          </w:p>
        </w:tc>
        <w:tc>
          <w:tcPr>
            <w:tcW w:w="924" w:type="pct"/>
            <w:shd w:val="clear" w:color="auto" w:fill="F2F2F2"/>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1,841,968</w:t>
            </w:r>
          </w:p>
        </w:tc>
      </w:tr>
      <w:tr w:rsidR="003B7CCA" w:rsidRPr="003E15CE" w:rsidTr="001E0E59">
        <w:trPr>
          <w:cantSplit/>
          <w:jc w:val="center"/>
        </w:trPr>
        <w:tc>
          <w:tcPr>
            <w:tcW w:w="1421" w:type="pct"/>
            <w:shd w:val="clear" w:color="auto" w:fill="F2F2F2"/>
            <w:noWrap/>
            <w:vAlign w:val="center"/>
            <w:hideMark/>
          </w:tcPr>
          <w:p w:rsidR="003B7CCA" w:rsidRPr="003E15CE" w:rsidRDefault="003B7CC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Fondos de Terceros</w:t>
            </w:r>
          </w:p>
        </w:tc>
        <w:tc>
          <w:tcPr>
            <w:tcW w:w="680" w:type="pct"/>
            <w:shd w:val="clear" w:color="auto" w:fill="F2F2F2"/>
            <w:noWrap/>
            <w:vAlign w:val="center"/>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3,306,435</w:t>
            </w:r>
          </w:p>
        </w:tc>
        <w:tc>
          <w:tcPr>
            <w:tcW w:w="1021" w:type="pct"/>
            <w:shd w:val="clear" w:color="auto" w:fill="F2F2F2"/>
            <w:noWrap/>
            <w:vAlign w:val="center"/>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5,196,763</w:t>
            </w:r>
          </w:p>
        </w:tc>
        <w:tc>
          <w:tcPr>
            <w:tcW w:w="954" w:type="pct"/>
            <w:shd w:val="clear" w:color="auto" w:fill="F2F2F2"/>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20,445,194</w:t>
            </w:r>
          </w:p>
        </w:tc>
        <w:tc>
          <w:tcPr>
            <w:tcW w:w="924" w:type="pct"/>
            <w:shd w:val="clear" w:color="auto" w:fill="F2F2F2"/>
          </w:tcPr>
          <w:p w:rsidR="003B7CCA"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28,948,392</w:t>
            </w:r>
          </w:p>
        </w:tc>
      </w:tr>
      <w:tr w:rsidR="003B7CCA" w:rsidRPr="003E15CE" w:rsidTr="001E0E59">
        <w:trPr>
          <w:cantSplit/>
          <w:jc w:val="center"/>
        </w:trPr>
        <w:tc>
          <w:tcPr>
            <w:tcW w:w="1421" w:type="pct"/>
            <w:shd w:val="clear" w:color="auto" w:fill="F2F2F2"/>
            <w:noWrap/>
            <w:vAlign w:val="center"/>
            <w:hideMark/>
          </w:tcPr>
          <w:p w:rsidR="003B7CCA" w:rsidRPr="003E15CE" w:rsidRDefault="003B7CC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Otros</w:t>
            </w:r>
          </w:p>
        </w:tc>
        <w:tc>
          <w:tcPr>
            <w:tcW w:w="680" w:type="pct"/>
            <w:shd w:val="clear" w:color="auto" w:fill="F2F2F2"/>
            <w:noWrap/>
            <w:vAlign w:val="center"/>
          </w:tcPr>
          <w:p w:rsidR="003B7CCA" w:rsidRPr="00531372" w:rsidRDefault="003B7CCA" w:rsidP="009846C8">
            <w:pPr>
              <w:spacing w:before="20" w:after="20" w:line="240" w:lineRule="auto"/>
              <w:jc w:val="right"/>
              <w:rPr>
                <w:rFonts w:ascii="Montserrat" w:hAnsi="Montserrat"/>
                <w:b/>
                <w:bCs/>
                <w:color w:val="000000"/>
                <w:sz w:val="18"/>
                <w:szCs w:val="18"/>
              </w:rPr>
            </w:pPr>
          </w:p>
        </w:tc>
        <w:tc>
          <w:tcPr>
            <w:tcW w:w="1021" w:type="pct"/>
            <w:shd w:val="clear" w:color="auto" w:fill="F2F2F2"/>
            <w:noWrap/>
            <w:vAlign w:val="center"/>
          </w:tcPr>
          <w:p w:rsidR="003B7CCA" w:rsidRPr="00531372" w:rsidRDefault="003B7CCA" w:rsidP="009846C8">
            <w:pPr>
              <w:spacing w:before="20" w:after="20" w:line="240" w:lineRule="auto"/>
              <w:jc w:val="right"/>
              <w:rPr>
                <w:rFonts w:ascii="Montserrat" w:hAnsi="Montserrat"/>
                <w:b/>
                <w:bCs/>
                <w:color w:val="000000"/>
                <w:sz w:val="18"/>
                <w:szCs w:val="18"/>
              </w:rPr>
            </w:pPr>
          </w:p>
        </w:tc>
        <w:tc>
          <w:tcPr>
            <w:tcW w:w="954" w:type="pct"/>
            <w:shd w:val="clear" w:color="auto" w:fill="F2F2F2"/>
          </w:tcPr>
          <w:p w:rsidR="003B7CCA" w:rsidRPr="003E15CE" w:rsidRDefault="003B7CCA" w:rsidP="005F5F87">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16,265,989</w:t>
            </w:r>
          </w:p>
        </w:tc>
        <w:tc>
          <w:tcPr>
            <w:tcW w:w="924" w:type="pct"/>
            <w:shd w:val="clear" w:color="auto" w:fill="F2F2F2"/>
          </w:tcPr>
          <w:p w:rsidR="003B7CCA" w:rsidRPr="003E15CE" w:rsidRDefault="003B7CCA" w:rsidP="005F5F87">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16,265,989</w:t>
            </w:r>
          </w:p>
        </w:tc>
      </w:tr>
    </w:tbl>
    <w:p w:rsidR="007A5850" w:rsidRPr="003E15CE" w:rsidRDefault="007A5850" w:rsidP="007A5850">
      <w:pPr>
        <w:pStyle w:val="TEXTONORMAL"/>
      </w:pPr>
    </w:p>
    <w:p w:rsidR="007A5850" w:rsidRDefault="007A5850" w:rsidP="007A5850">
      <w:pPr>
        <w:pStyle w:val="TEXTONORMAL"/>
      </w:pPr>
    </w:p>
    <w:p w:rsidR="00B26D50" w:rsidRDefault="00B26D50" w:rsidP="007A5850">
      <w:pPr>
        <w:pStyle w:val="TEXTONORMAL"/>
      </w:pPr>
    </w:p>
    <w:p w:rsidR="00B26D50" w:rsidRPr="001B59BF" w:rsidRDefault="00B26D50" w:rsidP="007A5850">
      <w:pPr>
        <w:pStyle w:val="TEXTONORMAL"/>
      </w:pPr>
    </w:p>
    <w:tbl>
      <w:tblPr>
        <w:tblW w:w="10407" w:type="dxa"/>
        <w:jc w:val="center"/>
        <w:tblCellMar>
          <w:left w:w="70" w:type="dxa"/>
          <w:right w:w="70" w:type="dxa"/>
        </w:tblCellMar>
        <w:tblLook w:val="04A0" w:firstRow="1" w:lastRow="0" w:firstColumn="1" w:lastColumn="0" w:noHBand="0" w:noVBand="1"/>
      </w:tblPr>
      <w:tblGrid>
        <w:gridCol w:w="2958"/>
        <w:gridCol w:w="1415"/>
        <w:gridCol w:w="2125"/>
        <w:gridCol w:w="1986"/>
        <w:gridCol w:w="1923"/>
      </w:tblGrid>
      <w:tr w:rsidR="007A5850" w:rsidRPr="003E15CE" w:rsidTr="001E0E59">
        <w:trPr>
          <w:cantSplit/>
          <w:jc w:val="center"/>
        </w:trPr>
        <w:tc>
          <w:tcPr>
            <w:tcW w:w="1421"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680"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90 DIAS</w:t>
            </w:r>
          </w:p>
        </w:tc>
        <w:tc>
          <w:tcPr>
            <w:tcW w:w="1021"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180 DIAS</w:t>
            </w:r>
          </w:p>
        </w:tc>
        <w:tc>
          <w:tcPr>
            <w:tcW w:w="954" w:type="pct"/>
            <w:tcBorders>
              <w:top w:val="nil"/>
              <w:left w:val="single" w:sz="8" w:space="0" w:color="FFFFFF"/>
              <w:bottom w:val="nil"/>
              <w:right w:val="single" w:sz="8" w:space="0" w:color="FFFFFF"/>
            </w:tcBorders>
            <w:shd w:val="clear" w:color="auto" w:fill="D4C19C"/>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365 DIAS</w:t>
            </w:r>
          </w:p>
        </w:tc>
        <w:tc>
          <w:tcPr>
            <w:tcW w:w="924" w:type="pct"/>
            <w:tcBorders>
              <w:top w:val="nil"/>
              <w:left w:val="single" w:sz="8" w:space="0" w:color="FFFFFF"/>
              <w:bottom w:val="nil"/>
              <w:right w:val="single" w:sz="8" w:space="0" w:color="FFFFFF"/>
            </w:tcBorders>
            <w:shd w:val="clear" w:color="auto" w:fill="D4C19C"/>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TOTAL 202</w:t>
            </w:r>
            <w:r w:rsidR="00FF572A">
              <w:rPr>
                <w:rFonts w:ascii="Montserrat" w:hAnsi="Montserrat"/>
                <w:b/>
                <w:bCs/>
                <w:color w:val="FFFFFF"/>
                <w:sz w:val="18"/>
                <w:szCs w:val="18"/>
                <w:lang w:eastAsia="es-MX"/>
              </w:rPr>
              <w:t>1</w:t>
            </w:r>
          </w:p>
        </w:tc>
      </w:tr>
      <w:tr w:rsidR="007A5850" w:rsidRPr="003E15CE" w:rsidTr="001E0E59">
        <w:trPr>
          <w:cantSplit/>
          <w:trHeight w:val="70"/>
          <w:jc w:val="center"/>
        </w:trPr>
        <w:tc>
          <w:tcPr>
            <w:tcW w:w="1421" w:type="pct"/>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680" w:type="pct"/>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021" w:type="pct"/>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54" w:type="pct"/>
          </w:tcPr>
          <w:p w:rsidR="007A5850" w:rsidRPr="003E15CE" w:rsidRDefault="007A5850" w:rsidP="001E0E59">
            <w:pPr>
              <w:spacing w:after="0" w:line="40" w:lineRule="atLeast"/>
              <w:jc w:val="center"/>
              <w:rPr>
                <w:rFonts w:ascii="Montserrat" w:hAnsi="Montserrat"/>
                <w:b/>
                <w:bCs/>
                <w:sz w:val="18"/>
                <w:szCs w:val="18"/>
                <w:lang w:eastAsia="es-MX"/>
              </w:rPr>
            </w:pPr>
          </w:p>
        </w:tc>
        <w:tc>
          <w:tcPr>
            <w:tcW w:w="924" w:type="pct"/>
          </w:tcPr>
          <w:p w:rsidR="007A5850" w:rsidRPr="003E15CE" w:rsidRDefault="007A5850" w:rsidP="001E0E59">
            <w:pPr>
              <w:spacing w:after="0" w:line="40" w:lineRule="atLeast"/>
              <w:jc w:val="center"/>
              <w:rPr>
                <w:rFonts w:ascii="Montserrat" w:hAnsi="Montserrat"/>
                <w:b/>
                <w:bCs/>
                <w:sz w:val="18"/>
                <w:szCs w:val="18"/>
                <w:lang w:eastAsia="es-MX"/>
              </w:rPr>
            </w:pPr>
          </w:p>
        </w:tc>
      </w:tr>
      <w:tr w:rsidR="00FF572A" w:rsidRPr="003E15CE" w:rsidTr="003B7CCA">
        <w:trPr>
          <w:cantSplit/>
          <w:trHeight w:val="182"/>
          <w:jc w:val="center"/>
        </w:trPr>
        <w:tc>
          <w:tcPr>
            <w:tcW w:w="1421" w:type="pct"/>
            <w:shd w:val="clear" w:color="auto" w:fill="F2F2F2"/>
            <w:noWrap/>
            <w:vAlign w:val="center"/>
            <w:hideMark/>
          </w:tcPr>
          <w:p w:rsidR="00FF572A" w:rsidRPr="003E15CE" w:rsidRDefault="00FF572A"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680" w:type="pct"/>
            <w:shd w:val="clear" w:color="auto" w:fill="F2F2F2"/>
            <w:vAlign w:val="center"/>
          </w:tcPr>
          <w:p w:rsidR="00FF572A" w:rsidRPr="00531372" w:rsidRDefault="00FF572A" w:rsidP="00FF572A">
            <w:pPr>
              <w:spacing w:before="20" w:after="20" w:line="240" w:lineRule="auto"/>
              <w:jc w:val="right"/>
              <w:rPr>
                <w:rFonts w:ascii="Montserrat" w:hAnsi="Montserrat"/>
                <w:b/>
                <w:bCs/>
                <w:color w:val="000000"/>
                <w:sz w:val="18"/>
                <w:szCs w:val="18"/>
              </w:rPr>
            </w:pPr>
          </w:p>
        </w:tc>
        <w:tc>
          <w:tcPr>
            <w:tcW w:w="1021" w:type="pct"/>
            <w:shd w:val="clear" w:color="auto" w:fill="F2F2F2"/>
            <w:vAlign w:val="center"/>
          </w:tcPr>
          <w:p w:rsidR="00FF572A" w:rsidRPr="00531372" w:rsidRDefault="00FF572A" w:rsidP="00FF572A">
            <w:pPr>
              <w:spacing w:before="20" w:after="20" w:line="240" w:lineRule="auto"/>
              <w:jc w:val="right"/>
              <w:rPr>
                <w:rFonts w:ascii="Montserrat" w:hAnsi="Montserrat"/>
                <w:b/>
                <w:bCs/>
                <w:color w:val="000000"/>
                <w:sz w:val="18"/>
                <w:szCs w:val="18"/>
              </w:rPr>
            </w:pPr>
          </w:p>
        </w:tc>
        <w:tc>
          <w:tcPr>
            <w:tcW w:w="954" w:type="pct"/>
            <w:shd w:val="clear" w:color="auto" w:fill="F2F2F2"/>
          </w:tcPr>
          <w:p w:rsidR="00FF572A" w:rsidRPr="00531372" w:rsidRDefault="00FF572A" w:rsidP="00FF572A">
            <w:pPr>
              <w:spacing w:before="20" w:after="20" w:line="240" w:lineRule="auto"/>
              <w:jc w:val="right"/>
              <w:rPr>
                <w:rFonts w:ascii="Montserrat" w:hAnsi="Montserrat"/>
                <w:b/>
                <w:bCs/>
                <w:color w:val="000000"/>
                <w:sz w:val="18"/>
                <w:szCs w:val="18"/>
              </w:rPr>
            </w:pPr>
          </w:p>
        </w:tc>
        <w:tc>
          <w:tcPr>
            <w:tcW w:w="924" w:type="pct"/>
            <w:shd w:val="clear" w:color="auto" w:fill="F2F2F2"/>
          </w:tcPr>
          <w:p w:rsidR="00FF572A" w:rsidRPr="00531372" w:rsidRDefault="00FF572A" w:rsidP="00FF572A">
            <w:pPr>
              <w:spacing w:before="20" w:after="20" w:line="240" w:lineRule="auto"/>
              <w:jc w:val="right"/>
              <w:rPr>
                <w:rFonts w:ascii="Montserrat" w:hAnsi="Montserrat"/>
                <w:b/>
                <w:bCs/>
                <w:color w:val="000000"/>
                <w:sz w:val="18"/>
                <w:szCs w:val="18"/>
              </w:rPr>
            </w:pPr>
          </w:p>
        </w:tc>
      </w:tr>
      <w:tr w:rsidR="00FF572A" w:rsidRPr="003E15CE" w:rsidTr="003B7CCA">
        <w:trPr>
          <w:cantSplit/>
          <w:jc w:val="center"/>
        </w:trPr>
        <w:tc>
          <w:tcPr>
            <w:tcW w:w="1421" w:type="pct"/>
            <w:shd w:val="clear" w:color="auto" w:fill="F2F2F2"/>
            <w:noWrap/>
            <w:vAlign w:val="center"/>
            <w:hideMark/>
          </w:tcPr>
          <w:p w:rsidR="00FF572A" w:rsidRPr="003E15CE" w:rsidRDefault="00FF572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Proveedores</w:t>
            </w:r>
          </w:p>
        </w:tc>
        <w:tc>
          <w:tcPr>
            <w:tcW w:w="680" w:type="pct"/>
            <w:shd w:val="clear" w:color="auto" w:fill="F2F2F2"/>
            <w:noWrap/>
            <w:vAlign w:val="center"/>
          </w:tcPr>
          <w:p w:rsidR="00FF572A" w:rsidRPr="003E15CE" w:rsidRDefault="00FF572A" w:rsidP="00BB56EC">
            <w:pPr>
              <w:spacing w:before="20" w:after="20" w:line="240" w:lineRule="auto"/>
              <w:jc w:val="right"/>
              <w:rPr>
                <w:rFonts w:ascii="Montserrat" w:hAnsi="Montserrat"/>
                <w:bCs/>
                <w:color w:val="000000"/>
                <w:sz w:val="18"/>
                <w:szCs w:val="18"/>
              </w:rPr>
            </w:pPr>
          </w:p>
        </w:tc>
        <w:tc>
          <w:tcPr>
            <w:tcW w:w="1021" w:type="pct"/>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p>
        </w:tc>
        <w:tc>
          <w:tcPr>
            <w:tcW w:w="954" w:type="pct"/>
            <w:shd w:val="clear" w:color="auto" w:fill="F2F2F2"/>
          </w:tcPr>
          <w:p w:rsidR="00FF572A" w:rsidRPr="003E15CE" w:rsidRDefault="00FF572A" w:rsidP="00BB56EC">
            <w:pPr>
              <w:spacing w:before="20" w:after="20" w:line="240" w:lineRule="auto"/>
              <w:jc w:val="right"/>
              <w:rPr>
                <w:rFonts w:ascii="Montserrat" w:hAnsi="Montserrat"/>
                <w:bCs/>
                <w:color w:val="000000"/>
                <w:sz w:val="18"/>
                <w:szCs w:val="18"/>
              </w:rPr>
            </w:pPr>
          </w:p>
        </w:tc>
        <w:tc>
          <w:tcPr>
            <w:tcW w:w="924" w:type="pct"/>
            <w:shd w:val="clear" w:color="auto" w:fill="F2F2F2"/>
          </w:tcPr>
          <w:p w:rsidR="00FF572A" w:rsidRPr="003E15CE" w:rsidRDefault="00FF572A" w:rsidP="00531372">
            <w:pPr>
              <w:spacing w:before="20" w:after="20" w:line="240" w:lineRule="auto"/>
              <w:jc w:val="right"/>
              <w:rPr>
                <w:rFonts w:ascii="Montserrat" w:hAnsi="Montserrat"/>
                <w:bCs/>
                <w:color w:val="000000"/>
                <w:sz w:val="18"/>
                <w:szCs w:val="18"/>
              </w:rPr>
            </w:pPr>
          </w:p>
        </w:tc>
      </w:tr>
      <w:tr w:rsidR="00FF572A" w:rsidRPr="003E15CE" w:rsidTr="003B7CCA">
        <w:trPr>
          <w:cantSplit/>
          <w:jc w:val="center"/>
        </w:trPr>
        <w:tc>
          <w:tcPr>
            <w:tcW w:w="1421" w:type="pct"/>
            <w:shd w:val="clear" w:color="auto" w:fill="F2F2F2"/>
            <w:noWrap/>
            <w:vAlign w:val="center"/>
            <w:hideMark/>
          </w:tcPr>
          <w:p w:rsidR="00FF572A" w:rsidRPr="003E15CE" w:rsidRDefault="00FF572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Retenciones por Pagar</w:t>
            </w:r>
          </w:p>
        </w:tc>
        <w:tc>
          <w:tcPr>
            <w:tcW w:w="680" w:type="pct"/>
            <w:shd w:val="clear" w:color="auto" w:fill="F2F2F2"/>
            <w:noWrap/>
            <w:vAlign w:val="center"/>
          </w:tcPr>
          <w:p w:rsidR="00FF572A" w:rsidRPr="003E15CE" w:rsidRDefault="00FF572A" w:rsidP="00BB56EC">
            <w:pPr>
              <w:spacing w:before="20" w:after="20" w:line="240" w:lineRule="auto"/>
              <w:jc w:val="right"/>
              <w:rPr>
                <w:rFonts w:ascii="Montserrat" w:hAnsi="Montserrat"/>
                <w:bCs/>
                <w:color w:val="000000"/>
                <w:sz w:val="18"/>
                <w:szCs w:val="18"/>
              </w:rPr>
            </w:pPr>
          </w:p>
        </w:tc>
        <w:tc>
          <w:tcPr>
            <w:tcW w:w="1021" w:type="pct"/>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p>
        </w:tc>
        <w:tc>
          <w:tcPr>
            <w:tcW w:w="954" w:type="pct"/>
            <w:shd w:val="clear" w:color="auto" w:fill="F2F2F2"/>
          </w:tcPr>
          <w:p w:rsidR="00FF572A" w:rsidRPr="003E15CE" w:rsidRDefault="00FF572A" w:rsidP="00FF572A">
            <w:pPr>
              <w:spacing w:before="20" w:after="20" w:line="240" w:lineRule="auto"/>
              <w:jc w:val="right"/>
              <w:rPr>
                <w:rFonts w:ascii="Montserrat" w:hAnsi="Montserrat"/>
                <w:bCs/>
                <w:color w:val="000000"/>
                <w:sz w:val="18"/>
                <w:szCs w:val="18"/>
              </w:rPr>
            </w:pPr>
          </w:p>
        </w:tc>
        <w:tc>
          <w:tcPr>
            <w:tcW w:w="924" w:type="pct"/>
            <w:shd w:val="clear" w:color="auto" w:fill="F2F2F2"/>
          </w:tcPr>
          <w:p w:rsidR="00FF572A" w:rsidRPr="003E15CE" w:rsidRDefault="00FF572A" w:rsidP="00531372">
            <w:pPr>
              <w:spacing w:before="20" w:after="20" w:line="240" w:lineRule="auto"/>
              <w:jc w:val="right"/>
              <w:rPr>
                <w:rFonts w:ascii="Montserrat" w:hAnsi="Montserrat"/>
                <w:bCs/>
                <w:color w:val="000000"/>
                <w:sz w:val="18"/>
                <w:szCs w:val="18"/>
              </w:rPr>
            </w:pPr>
          </w:p>
        </w:tc>
      </w:tr>
      <w:tr w:rsidR="00FF572A" w:rsidRPr="003E15CE" w:rsidTr="003B7CCA">
        <w:trPr>
          <w:cantSplit/>
          <w:jc w:val="center"/>
        </w:trPr>
        <w:tc>
          <w:tcPr>
            <w:tcW w:w="1421" w:type="pct"/>
            <w:shd w:val="clear" w:color="auto" w:fill="F2F2F2"/>
            <w:noWrap/>
            <w:vAlign w:val="center"/>
            <w:hideMark/>
          </w:tcPr>
          <w:p w:rsidR="00FF572A" w:rsidRPr="003E15CE" w:rsidRDefault="00FF572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Fondos de Terceros</w:t>
            </w:r>
          </w:p>
        </w:tc>
        <w:tc>
          <w:tcPr>
            <w:tcW w:w="680" w:type="pct"/>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p>
        </w:tc>
        <w:tc>
          <w:tcPr>
            <w:tcW w:w="1021" w:type="pct"/>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p>
        </w:tc>
        <w:tc>
          <w:tcPr>
            <w:tcW w:w="954" w:type="pct"/>
            <w:shd w:val="clear" w:color="auto" w:fill="F2F2F2"/>
          </w:tcPr>
          <w:p w:rsidR="00FF572A" w:rsidRPr="003E15CE" w:rsidRDefault="00FF572A" w:rsidP="00FF572A">
            <w:pPr>
              <w:spacing w:before="20" w:after="20" w:line="240" w:lineRule="auto"/>
              <w:jc w:val="right"/>
              <w:rPr>
                <w:rFonts w:ascii="Montserrat" w:hAnsi="Montserrat"/>
                <w:bCs/>
                <w:color w:val="000000"/>
                <w:sz w:val="18"/>
                <w:szCs w:val="18"/>
              </w:rPr>
            </w:pPr>
          </w:p>
        </w:tc>
        <w:tc>
          <w:tcPr>
            <w:tcW w:w="924" w:type="pct"/>
            <w:shd w:val="clear" w:color="auto" w:fill="F2F2F2"/>
          </w:tcPr>
          <w:p w:rsidR="00FF572A" w:rsidRPr="003E15CE" w:rsidRDefault="00FF572A" w:rsidP="00FF572A">
            <w:pPr>
              <w:spacing w:before="20" w:after="20" w:line="240" w:lineRule="auto"/>
              <w:jc w:val="right"/>
              <w:rPr>
                <w:rFonts w:ascii="Montserrat" w:hAnsi="Montserrat"/>
                <w:bCs/>
                <w:color w:val="000000"/>
                <w:sz w:val="18"/>
                <w:szCs w:val="18"/>
              </w:rPr>
            </w:pPr>
          </w:p>
        </w:tc>
      </w:tr>
      <w:tr w:rsidR="00FF572A" w:rsidRPr="003E15CE" w:rsidTr="003B7CCA">
        <w:trPr>
          <w:cantSplit/>
          <w:trHeight w:val="332"/>
          <w:jc w:val="center"/>
        </w:trPr>
        <w:tc>
          <w:tcPr>
            <w:tcW w:w="1421" w:type="pct"/>
            <w:shd w:val="clear" w:color="auto" w:fill="F2F2F2"/>
            <w:noWrap/>
            <w:vAlign w:val="center"/>
            <w:hideMark/>
          </w:tcPr>
          <w:p w:rsidR="00FF572A" w:rsidRPr="003E15CE" w:rsidRDefault="00FF572A" w:rsidP="001E0E59">
            <w:pPr>
              <w:spacing w:before="20" w:after="20" w:line="240" w:lineRule="auto"/>
              <w:rPr>
                <w:rFonts w:ascii="Montserrat" w:hAnsi="Montserrat"/>
                <w:bCs/>
                <w:color w:val="000000"/>
                <w:sz w:val="18"/>
                <w:szCs w:val="18"/>
              </w:rPr>
            </w:pPr>
            <w:r w:rsidRPr="003E15CE">
              <w:rPr>
                <w:rFonts w:ascii="Montserrat" w:hAnsi="Montserrat"/>
                <w:bCs/>
                <w:color w:val="000000"/>
                <w:sz w:val="18"/>
                <w:szCs w:val="18"/>
              </w:rPr>
              <w:t>Otros</w:t>
            </w:r>
          </w:p>
        </w:tc>
        <w:tc>
          <w:tcPr>
            <w:tcW w:w="680" w:type="pct"/>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p>
        </w:tc>
        <w:tc>
          <w:tcPr>
            <w:tcW w:w="1021" w:type="pct"/>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p>
        </w:tc>
        <w:tc>
          <w:tcPr>
            <w:tcW w:w="954" w:type="pct"/>
            <w:shd w:val="clear" w:color="auto" w:fill="F2F2F2"/>
          </w:tcPr>
          <w:p w:rsidR="00FF572A" w:rsidRPr="003E15CE" w:rsidRDefault="00FF572A" w:rsidP="00FF572A">
            <w:pPr>
              <w:spacing w:before="20" w:after="20" w:line="240" w:lineRule="auto"/>
              <w:jc w:val="right"/>
              <w:rPr>
                <w:rFonts w:ascii="Montserrat" w:hAnsi="Montserrat"/>
                <w:bCs/>
                <w:color w:val="000000"/>
                <w:sz w:val="18"/>
                <w:szCs w:val="18"/>
              </w:rPr>
            </w:pPr>
          </w:p>
        </w:tc>
        <w:tc>
          <w:tcPr>
            <w:tcW w:w="924" w:type="pct"/>
            <w:shd w:val="clear" w:color="auto" w:fill="F2F2F2"/>
          </w:tcPr>
          <w:p w:rsidR="00FF572A" w:rsidRPr="003E15CE" w:rsidRDefault="00FF572A" w:rsidP="00FF572A">
            <w:pPr>
              <w:spacing w:before="20" w:after="20" w:line="240" w:lineRule="auto"/>
              <w:jc w:val="right"/>
              <w:rPr>
                <w:rFonts w:ascii="Montserrat" w:hAnsi="Montserrat"/>
                <w:bCs/>
                <w:color w:val="000000"/>
                <w:sz w:val="18"/>
                <w:szCs w:val="18"/>
              </w:rPr>
            </w:pPr>
          </w:p>
        </w:tc>
      </w:tr>
    </w:tbl>
    <w:p w:rsidR="007A5850" w:rsidRPr="003E15CE" w:rsidRDefault="007A5850" w:rsidP="007A5850">
      <w:pPr>
        <w:pStyle w:val="TEXTONORMAL"/>
      </w:pPr>
    </w:p>
    <w:p w:rsidR="007A5850" w:rsidRPr="003E15CE" w:rsidRDefault="007A5850" w:rsidP="007A5850">
      <w:pPr>
        <w:pStyle w:val="TEXTONORMAL"/>
      </w:pPr>
      <w:r w:rsidRPr="003E15CE">
        <w:t>Los pasivos corresponden a recursos de terceros y estos tiene diferentes etapas para su realización, de las retenciones y proveedores se realizan los pagos en el siguiente ejercicio.</w:t>
      </w:r>
    </w:p>
    <w:p w:rsidR="007A5850" w:rsidRPr="003E15CE" w:rsidRDefault="007A5850" w:rsidP="007A5850">
      <w:pPr>
        <w:pStyle w:val="TEXTONORMAL"/>
      </w:pPr>
    </w:p>
    <w:p w:rsidR="007A5850" w:rsidRPr="003E15CE" w:rsidRDefault="007A5850" w:rsidP="007A5850">
      <w:pPr>
        <w:pStyle w:val="TEXTONORMAL"/>
        <w:numPr>
          <w:ilvl w:val="0"/>
          <w:numId w:val="14"/>
        </w:numPr>
      </w:pPr>
      <w:r w:rsidRPr="003E15CE">
        <w:lastRenderedPageBreak/>
        <w:t>2.-NOTAS AL ESTADO DE ACTIVIDADES</w:t>
      </w:r>
    </w:p>
    <w:p w:rsidR="007A5850" w:rsidRPr="003E15CE" w:rsidRDefault="007A5850" w:rsidP="007A5850">
      <w:pPr>
        <w:pStyle w:val="TEXTONORMAL"/>
        <w:numPr>
          <w:ilvl w:val="0"/>
          <w:numId w:val="17"/>
        </w:numPr>
      </w:pPr>
      <w:r w:rsidRPr="003E15CE">
        <w:t>2.1 INGRESOS DE GESTION</w:t>
      </w:r>
    </w:p>
    <w:p w:rsidR="007A5850" w:rsidRPr="003E15CE" w:rsidRDefault="007A5850" w:rsidP="007A5850">
      <w:pPr>
        <w:pStyle w:val="TEXTONORMAL"/>
      </w:pPr>
    </w:p>
    <w:tbl>
      <w:tblPr>
        <w:tblW w:w="10495" w:type="dxa"/>
        <w:jc w:val="center"/>
        <w:tblInd w:w="-1654" w:type="dxa"/>
        <w:tblCellMar>
          <w:left w:w="70" w:type="dxa"/>
          <w:right w:w="70" w:type="dxa"/>
        </w:tblCellMar>
        <w:tblLook w:val="04A0" w:firstRow="1" w:lastRow="0" w:firstColumn="1" w:lastColumn="0" w:noHBand="0" w:noVBand="1"/>
      </w:tblPr>
      <w:tblGrid>
        <w:gridCol w:w="5781"/>
        <w:gridCol w:w="1784"/>
        <w:gridCol w:w="2930"/>
      </w:tblGrid>
      <w:tr w:rsidR="007A5850" w:rsidRPr="003E15CE" w:rsidTr="00B26D50">
        <w:trPr>
          <w:cantSplit/>
          <w:jc w:val="center"/>
        </w:trPr>
        <w:tc>
          <w:tcPr>
            <w:tcW w:w="2754"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850"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396"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3E15CE" w:rsidTr="00B26D50">
        <w:trPr>
          <w:cantSplit/>
          <w:trHeight w:val="70"/>
          <w:jc w:val="center"/>
        </w:trPr>
        <w:tc>
          <w:tcPr>
            <w:tcW w:w="2754"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850"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396"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FF572A" w:rsidRPr="003E15CE" w:rsidTr="00B26D50">
        <w:trPr>
          <w:cantSplit/>
          <w:jc w:val="center"/>
        </w:trPr>
        <w:tc>
          <w:tcPr>
            <w:tcW w:w="2754" w:type="pct"/>
            <w:tcBorders>
              <w:top w:val="double" w:sz="12" w:space="0" w:color="808080"/>
              <w:left w:val="nil"/>
              <w:bottom w:val="nil"/>
              <w:right w:val="nil"/>
            </w:tcBorders>
            <w:shd w:val="clear" w:color="auto" w:fill="F2F2F2"/>
            <w:noWrap/>
            <w:vAlign w:val="center"/>
            <w:hideMark/>
          </w:tcPr>
          <w:p w:rsidR="00FF572A" w:rsidRPr="003E15CE" w:rsidRDefault="00FF572A"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850" w:type="pct"/>
            <w:tcBorders>
              <w:top w:val="double" w:sz="12" w:space="0" w:color="808080"/>
              <w:left w:val="nil"/>
              <w:bottom w:val="nil"/>
              <w:right w:val="nil"/>
            </w:tcBorders>
            <w:shd w:val="clear" w:color="auto" w:fill="F2F2F2"/>
            <w:vAlign w:val="center"/>
          </w:tcPr>
          <w:p w:rsidR="00FF572A" w:rsidRPr="003E15CE" w:rsidRDefault="003B7CCA"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178,440,786</w:t>
            </w:r>
          </w:p>
        </w:tc>
        <w:tc>
          <w:tcPr>
            <w:tcW w:w="1396" w:type="pct"/>
            <w:tcBorders>
              <w:top w:val="double" w:sz="12" w:space="0" w:color="808080"/>
              <w:left w:val="nil"/>
              <w:bottom w:val="nil"/>
              <w:right w:val="nil"/>
            </w:tcBorders>
            <w:shd w:val="clear" w:color="auto" w:fill="F2F2F2"/>
            <w:vAlign w:val="center"/>
            <w:hideMark/>
          </w:tcPr>
          <w:p w:rsidR="00FF572A" w:rsidRPr="003E15CE" w:rsidRDefault="00FF572A" w:rsidP="00FF572A">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290,848,510</w:t>
            </w:r>
          </w:p>
        </w:tc>
      </w:tr>
      <w:tr w:rsidR="00FF572A" w:rsidRPr="003E15CE" w:rsidTr="00B26D50">
        <w:trPr>
          <w:cantSplit/>
          <w:jc w:val="center"/>
        </w:trPr>
        <w:tc>
          <w:tcPr>
            <w:tcW w:w="2754" w:type="pct"/>
            <w:shd w:val="clear" w:color="auto" w:fill="F2F2F2"/>
            <w:noWrap/>
            <w:vAlign w:val="center"/>
            <w:hideMark/>
          </w:tcPr>
          <w:p w:rsidR="00FF572A" w:rsidRPr="003E15CE" w:rsidRDefault="00FF572A"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Ingresos por Ventas de Bienes y servicios</w:t>
            </w:r>
          </w:p>
        </w:tc>
        <w:tc>
          <w:tcPr>
            <w:tcW w:w="850" w:type="pct"/>
            <w:shd w:val="clear" w:color="auto" w:fill="F2F2F2"/>
            <w:noWrap/>
            <w:vAlign w:val="center"/>
          </w:tcPr>
          <w:p w:rsidR="00FF572A" w:rsidRPr="003E15CE" w:rsidRDefault="0053137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17,856,758</w:t>
            </w:r>
          </w:p>
        </w:tc>
        <w:tc>
          <w:tcPr>
            <w:tcW w:w="1396" w:type="pct"/>
            <w:shd w:val="clear" w:color="auto" w:fill="F2F2F2"/>
            <w:noWrap/>
            <w:vAlign w:val="center"/>
            <w:hideMark/>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41,288,757</w:t>
            </w:r>
          </w:p>
        </w:tc>
      </w:tr>
      <w:tr w:rsidR="00FF572A" w:rsidRPr="003E15CE" w:rsidTr="00B26D50">
        <w:trPr>
          <w:cantSplit/>
          <w:jc w:val="center"/>
        </w:trPr>
        <w:tc>
          <w:tcPr>
            <w:tcW w:w="2754" w:type="pct"/>
            <w:shd w:val="clear" w:color="auto" w:fill="F2F2F2"/>
            <w:noWrap/>
            <w:vAlign w:val="center"/>
            <w:hideMark/>
          </w:tcPr>
          <w:p w:rsidR="00FF572A" w:rsidRPr="003E15CE" w:rsidRDefault="00FF572A"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Transferencias, Asignaciones y Otras Ayudas</w:t>
            </w:r>
          </w:p>
        </w:tc>
        <w:tc>
          <w:tcPr>
            <w:tcW w:w="850" w:type="pct"/>
            <w:shd w:val="clear" w:color="auto" w:fill="F2F2F2"/>
            <w:noWrap/>
            <w:vAlign w:val="center"/>
          </w:tcPr>
          <w:p w:rsidR="00FF572A" w:rsidRPr="003E15CE" w:rsidRDefault="00531372"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160,541,963</w:t>
            </w:r>
          </w:p>
        </w:tc>
        <w:tc>
          <w:tcPr>
            <w:tcW w:w="1396" w:type="pct"/>
            <w:shd w:val="clear" w:color="auto" w:fill="F2F2F2"/>
            <w:noWrap/>
            <w:vAlign w:val="center"/>
            <w:hideMark/>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249,559,406</w:t>
            </w:r>
          </w:p>
        </w:tc>
      </w:tr>
      <w:tr w:rsidR="00FF572A" w:rsidRPr="003E15CE" w:rsidTr="00B26D50">
        <w:trPr>
          <w:cantSplit/>
          <w:jc w:val="center"/>
        </w:trPr>
        <w:tc>
          <w:tcPr>
            <w:tcW w:w="2754" w:type="pct"/>
            <w:shd w:val="clear" w:color="auto" w:fill="F2F2F2"/>
            <w:noWrap/>
            <w:vAlign w:val="center"/>
            <w:hideMark/>
          </w:tcPr>
          <w:p w:rsidR="00FF572A" w:rsidRPr="003E15CE" w:rsidRDefault="00FF572A"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Otros Ingresos</w:t>
            </w:r>
          </w:p>
        </w:tc>
        <w:tc>
          <w:tcPr>
            <w:tcW w:w="850" w:type="pct"/>
            <w:shd w:val="clear" w:color="auto" w:fill="F2F2F2"/>
            <w:noWrap/>
            <w:vAlign w:val="center"/>
          </w:tcPr>
          <w:p w:rsidR="00FF572A" w:rsidRPr="003E15CE" w:rsidRDefault="003B7CC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42,065</w:t>
            </w:r>
          </w:p>
        </w:tc>
        <w:tc>
          <w:tcPr>
            <w:tcW w:w="1396" w:type="pct"/>
            <w:shd w:val="clear" w:color="auto" w:fill="F2F2F2"/>
            <w:noWrap/>
            <w:vAlign w:val="center"/>
            <w:hideMark/>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347</w:t>
            </w:r>
          </w:p>
        </w:tc>
      </w:tr>
    </w:tbl>
    <w:p w:rsidR="007A5850" w:rsidRPr="003E15CE" w:rsidRDefault="007A5850" w:rsidP="007A5850">
      <w:pPr>
        <w:pStyle w:val="TEXTONORMAL"/>
      </w:pPr>
    </w:p>
    <w:p w:rsidR="007A5850" w:rsidRPr="003E15CE" w:rsidRDefault="007A5850" w:rsidP="007A5850">
      <w:pPr>
        <w:pStyle w:val="TEXTONORMAL"/>
        <w:numPr>
          <w:ilvl w:val="0"/>
          <w:numId w:val="17"/>
        </w:numPr>
      </w:pPr>
      <w:r w:rsidRPr="003E15CE">
        <w:t>2..2 GASTOS Y OTRAS PÉRDIDAS</w:t>
      </w:r>
    </w:p>
    <w:tbl>
      <w:tblPr>
        <w:tblW w:w="10401" w:type="dxa"/>
        <w:jc w:val="center"/>
        <w:tblInd w:w="-962" w:type="dxa"/>
        <w:tblCellMar>
          <w:left w:w="70" w:type="dxa"/>
          <w:right w:w="70" w:type="dxa"/>
        </w:tblCellMar>
        <w:tblLook w:val="04A0" w:firstRow="1" w:lastRow="0" w:firstColumn="1" w:lastColumn="0" w:noHBand="0" w:noVBand="1"/>
      </w:tblPr>
      <w:tblGrid>
        <w:gridCol w:w="5248"/>
        <w:gridCol w:w="2561"/>
        <w:gridCol w:w="1221"/>
        <w:gridCol w:w="1371"/>
      </w:tblGrid>
      <w:tr w:rsidR="007A5850" w:rsidRPr="001B59BF" w:rsidTr="00FF572A">
        <w:trPr>
          <w:cantSplit/>
          <w:jc w:val="center"/>
        </w:trPr>
        <w:tc>
          <w:tcPr>
            <w:tcW w:w="2523"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1231"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2</w:t>
            </w:r>
          </w:p>
        </w:tc>
        <w:tc>
          <w:tcPr>
            <w:tcW w:w="1246" w:type="pct"/>
            <w:gridSpan w:val="2"/>
            <w:tcBorders>
              <w:top w:val="nil"/>
              <w:left w:val="single" w:sz="8" w:space="0" w:color="FFFFFF"/>
              <w:bottom w:val="nil"/>
              <w:right w:val="single" w:sz="8" w:space="0" w:color="FFFFFF"/>
            </w:tcBorders>
            <w:shd w:val="clear" w:color="auto" w:fill="D4C19C"/>
            <w:vAlign w:val="center"/>
            <w:hideMark/>
          </w:tcPr>
          <w:p w:rsidR="007A5850" w:rsidRPr="003E15CE" w:rsidRDefault="007A5850"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FF572A">
              <w:rPr>
                <w:rFonts w:ascii="Montserrat" w:hAnsi="Montserrat"/>
                <w:b/>
                <w:bCs/>
                <w:color w:val="FFFFFF"/>
                <w:sz w:val="18"/>
                <w:szCs w:val="18"/>
                <w:lang w:eastAsia="es-MX"/>
              </w:rPr>
              <w:t>1</w:t>
            </w:r>
          </w:p>
        </w:tc>
      </w:tr>
      <w:tr w:rsidR="007A5850" w:rsidRPr="001B59BF" w:rsidTr="00FF572A">
        <w:trPr>
          <w:cantSplit/>
          <w:trHeight w:val="70"/>
          <w:jc w:val="center"/>
        </w:trPr>
        <w:tc>
          <w:tcPr>
            <w:tcW w:w="2523"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231"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246" w:type="pct"/>
            <w:gridSpan w:val="2"/>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FF572A" w:rsidRPr="001B59BF" w:rsidTr="00FF572A">
        <w:trPr>
          <w:cantSplit/>
          <w:jc w:val="center"/>
        </w:trPr>
        <w:tc>
          <w:tcPr>
            <w:tcW w:w="2523" w:type="pct"/>
            <w:tcBorders>
              <w:top w:val="double" w:sz="12" w:space="0" w:color="808080"/>
              <w:left w:val="nil"/>
              <w:bottom w:val="nil"/>
              <w:right w:val="nil"/>
            </w:tcBorders>
            <w:shd w:val="clear" w:color="auto" w:fill="F2F2F2"/>
            <w:noWrap/>
            <w:vAlign w:val="center"/>
            <w:hideMark/>
          </w:tcPr>
          <w:p w:rsidR="00FF572A" w:rsidRPr="003E15CE" w:rsidRDefault="00FF572A"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1231" w:type="pct"/>
            <w:tcBorders>
              <w:top w:val="double" w:sz="12" w:space="0" w:color="808080"/>
              <w:left w:val="nil"/>
              <w:bottom w:val="nil"/>
              <w:right w:val="nil"/>
            </w:tcBorders>
            <w:shd w:val="clear" w:color="auto" w:fill="F2F2F2"/>
            <w:vAlign w:val="center"/>
          </w:tcPr>
          <w:p w:rsidR="00FF572A" w:rsidRPr="003E15CE" w:rsidRDefault="00FF572A" w:rsidP="001E0E59">
            <w:pPr>
              <w:spacing w:before="20" w:after="20" w:line="240" w:lineRule="auto"/>
              <w:jc w:val="right"/>
              <w:rPr>
                <w:rFonts w:ascii="Montserrat" w:hAnsi="Montserrat"/>
                <w:b/>
                <w:bCs/>
                <w:color w:val="000000"/>
                <w:sz w:val="18"/>
                <w:szCs w:val="18"/>
              </w:rPr>
            </w:pPr>
          </w:p>
        </w:tc>
        <w:tc>
          <w:tcPr>
            <w:tcW w:w="1246" w:type="pct"/>
            <w:gridSpan w:val="2"/>
            <w:tcBorders>
              <w:top w:val="double" w:sz="12" w:space="0" w:color="808080"/>
              <w:left w:val="nil"/>
              <w:bottom w:val="nil"/>
              <w:right w:val="nil"/>
            </w:tcBorders>
            <w:shd w:val="clear" w:color="auto" w:fill="F2F2F2"/>
            <w:vAlign w:val="center"/>
            <w:hideMark/>
          </w:tcPr>
          <w:p w:rsidR="00FF572A" w:rsidRPr="003E15CE" w:rsidRDefault="00FF572A" w:rsidP="00FF572A">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316,889,627</w:t>
            </w:r>
          </w:p>
        </w:tc>
      </w:tr>
      <w:tr w:rsidR="00FF572A" w:rsidRPr="001B59BF" w:rsidTr="00FF572A">
        <w:trPr>
          <w:cantSplit/>
          <w:jc w:val="center"/>
        </w:trPr>
        <w:tc>
          <w:tcPr>
            <w:tcW w:w="2523" w:type="pct"/>
            <w:shd w:val="clear" w:color="auto" w:fill="F2F2F2"/>
            <w:noWrap/>
            <w:vAlign w:val="center"/>
            <w:hideMark/>
          </w:tcPr>
          <w:p w:rsidR="00FF572A" w:rsidRPr="003E15CE" w:rsidRDefault="00FF572A"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Servicios Personales</w:t>
            </w:r>
          </w:p>
        </w:tc>
        <w:tc>
          <w:tcPr>
            <w:tcW w:w="1231" w:type="pct"/>
            <w:shd w:val="clear" w:color="auto" w:fill="F2F2F2"/>
            <w:noWrap/>
            <w:vAlign w:val="center"/>
          </w:tcPr>
          <w:p w:rsidR="00FF572A" w:rsidRPr="003E15CE" w:rsidRDefault="003B7CC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87,380,983</w:t>
            </w:r>
          </w:p>
        </w:tc>
        <w:tc>
          <w:tcPr>
            <w:tcW w:w="1246" w:type="pct"/>
            <w:gridSpan w:val="2"/>
            <w:shd w:val="clear" w:color="auto" w:fill="F2F2F2"/>
            <w:noWrap/>
            <w:vAlign w:val="center"/>
            <w:hideMark/>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131,023,720</w:t>
            </w:r>
          </w:p>
        </w:tc>
      </w:tr>
      <w:tr w:rsidR="00FF572A" w:rsidRPr="001B59BF" w:rsidTr="00FF572A">
        <w:trPr>
          <w:cantSplit/>
          <w:jc w:val="center"/>
        </w:trPr>
        <w:tc>
          <w:tcPr>
            <w:tcW w:w="2523" w:type="pct"/>
            <w:shd w:val="clear" w:color="auto" w:fill="F2F2F2"/>
            <w:noWrap/>
            <w:vAlign w:val="center"/>
            <w:hideMark/>
          </w:tcPr>
          <w:p w:rsidR="00FF572A" w:rsidRPr="003E15CE" w:rsidRDefault="00FF572A"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Materiales y Suministros</w:t>
            </w:r>
          </w:p>
        </w:tc>
        <w:tc>
          <w:tcPr>
            <w:tcW w:w="1231" w:type="pct"/>
            <w:shd w:val="clear" w:color="auto" w:fill="F2F2F2"/>
            <w:noWrap/>
            <w:vAlign w:val="center"/>
          </w:tcPr>
          <w:p w:rsidR="00FF572A" w:rsidRPr="003E15CE" w:rsidRDefault="003B7CC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46,118,631</w:t>
            </w:r>
          </w:p>
        </w:tc>
        <w:tc>
          <w:tcPr>
            <w:tcW w:w="1246" w:type="pct"/>
            <w:gridSpan w:val="2"/>
            <w:shd w:val="clear" w:color="auto" w:fill="F2F2F2"/>
            <w:noWrap/>
            <w:vAlign w:val="center"/>
            <w:hideMark/>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85,695,386</w:t>
            </w:r>
          </w:p>
        </w:tc>
      </w:tr>
      <w:tr w:rsidR="00FF572A" w:rsidRPr="001B59BF" w:rsidTr="00FF572A">
        <w:trPr>
          <w:cantSplit/>
          <w:jc w:val="center"/>
        </w:trPr>
        <w:tc>
          <w:tcPr>
            <w:tcW w:w="2523" w:type="pct"/>
            <w:shd w:val="clear" w:color="auto" w:fill="F2F2F2"/>
            <w:noWrap/>
            <w:vAlign w:val="center"/>
            <w:hideMark/>
          </w:tcPr>
          <w:p w:rsidR="00FF572A" w:rsidRPr="003E15CE" w:rsidRDefault="00FF572A"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Servicios Generales</w:t>
            </w:r>
          </w:p>
        </w:tc>
        <w:tc>
          <w:tcPr>
            <w:tcW w:w="1231" w:type="pct"/>
            <w:shd w:val="clear" w:color="auto" w:fill="F2F2F2"/>
            <w:noWrap/>
            <w:vAlign w:val="center"/>
          </w:tcPr>
          <w:p w:rsidR="00FF572A" w:rsidRPr="003E15CE" w:rsidRDefault="003B7CC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34,290,516</w:t>
            </w:r>
          </w:p>
        </w:tc>
        <w:tc>
          <w:tcPr>
            <w:tcW w:w="1246" w:type="pct"/>
            <w:gridSpan w:val="2"/>
            <w:shd w:val="clear" w:color="auto" w:fill="F2F2F2"/>
            <w:noWrap/>
            <w:vAlign w:val="center"/>
            <w:hideMark/>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100,146,035</w:t>
            </w:r>
          </w:p>
        </w:tc>
      </w:tr>
      <w:tr w:rsidR="00FF572A" w:rsidRPr="001B59BF" w:rsidTr="00FF572A">
        <w:trPr>
          <w:cantSplit/>
          <w:jc w:val="center"/>
        </w:trPr>
        <w:tc>
          <w:tcPr>
            <w:tcW w:w="2523" w:type="pct"/>
            <w:shd w:val="clear" w:color="auto" w:fill="F2F2F2"/>
            <w:noWrap/>
            <w:vAlign w:val="center"/>
          </w:tcPr>
          <w:p w:rsidR="00FF572A" w:rsidRPr="003E15CE" w:rsidRDefault="00FF572A" w:rsidP="001E0E59">
            <w:pPr>
              <w:spacing w:before="20" w:after="20" w:line="240" w:lineRule="auto"/>
              <w:jc w:val="both"/>
              <w:rPr>
                <w:rFonts w:ascii="Montserrat" w:hAnsi="Montserrat"/>
                <w:bCs/>
                <w:color w:val="000000"/>
                <w:sz w:val="18"/>
                <w:szCs w:val="18"/>
                <w:highlight w:val="yellow"/>
              </w:rPr>
            </w:pPr>
            <w:r w:rsidRPr="003E15CE">
              <w:rPr>
                <w:rFonts w:ascii="Montserrat" w:hAnsi="Montserrat"/>
                <w:bCs/>
                <w:color w:val="000000"/>
                <w:sz w:val="18"/>
                <w:szCs w:val="18"/>
              </w:rPr>
              <w:t>Otros Gastos</w:t>
            </w:r>
          </w:p>
        </w:tc>
        <w:tc>
          <w:tcPr>
            <w:tcW w:w="1231" w:type="pct"/>
            <w:shd w:val="clear" w:color="auto" w:fill="F2F2F2"/>
            <w:noWrap/>
            <w:vAlign w:val="center"/>
          </w:tcPr>
          <w:p w:rsidR="00FF572A" w:rsidRPr="003E15CE" w:rsidRDefault="003B7CCA"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0</w:t>
            </w:r>
          </w:p>
        </w:tc>
        <w:tc>
          <w:tcPr>
            <w:tcW w:w="1246" w:type="pct"/>
            <w:gridSpan w:val="2"/>
            <w:shd w:val="clear" w:color="auto" w:fill="F2F2F2"/>
            <w:noWrap/>
            <w:vAlign w:val="center"/>
          </w:tcPr>
          <w:p w:rsidR="00FF572A" w:rsidRPr="003E15CE" w:rsidRDefault="00FF572A" w:rsidP="00FF572A">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24,486</w:t>
            </w:r>
          </w:p>
        </w:tc>
      </w:tr>
      <w:tr w:rsidR="007A5850" w:rsidRPr="001B59BF" w:rsidTr="00FF572A">
        <w:trPr>
          <w:cantSplit/>
          <w:jc w:val="center"/>
        </w:trPr>
        <w:tc>
          <w:tcPr>
            <w:tcW w:w="3754" w:type="pct"/>
            <w:gridSpan w:val="2"/>
            <w:tcBorders>
              <w:top w:val="nil"/>
              <w:left w:val="nil"/>
              <w:bottom w:val="nil"/>
              <w:right w:val="single" w:sz="8" w:space="0" w:color="FFFFFF"/>
            </w:tcBorders>
            <w:shd w:val="clear" w:color="auto" w:fill="D4C19C"/>
            <w:vAlign w:val="center"/>
          </w:tcPr>
          <w:p w:rsidR="007A5850" w:rsidRPr="003E15CE" w:rsidRDefault="007A5850" w:rsidP="001E0E59">
            <w:pPr>
              <w:spacing w:before="20" w:after="20" w:line="240" w:lineRule="auto"/>
              <w:jc w:val="center"/>
              <w:rPr>
                <w:rFonts w:ascii="Montserrat" w:hAnsi="Montserrat"/>
                <w:b/>
                <w:bCs/>
                <w:color w:val="FFFFFF"/>
                <w:sz w:val="18"/>
                <w:szCs w:val="18"/>
                <w:lang w:eastAsia="es-MX"/>
              </w:rPr>
            </w:pPr>
          </w:p>
        </w:tc>
        <w:tc>
          <w:tcPr>
            <w:tcW w:w="587" w:type="pct"/>
            <w:tcBorders>
              <w:top w:val="nil"/>
              <w:left w:val="single" w:sz="8" w:space="0" w:color="FFFFFF"/>
              <w:bottom w:val="nil"/>
              <w:right w:val="single" w:sz="8" w:space="0" w:color="FFFFFF"/>
            </w:tcBorders>
            <w:shd w:val="clear" w:color="auto" w:fill="D4C19C"/>
            <w:vAlign w:val="center"/>
          </w:tcPr>
          <w:p w:rsidR="007A5850" w:rsidRPr="003E15CE" w:rsidRDefault="007A5850" w:rsidP="001E0E59">
            <w:pPr>
              <w:spacing w:before="20" w:after="20" w:line="240" w:lineRule="auto"/>
              <w:jc w:val="center"/>
              <w:rPr>
                <w:rFonts w:ascii="Montserrat" w:hAnsi="Montserrat"/>
                <w:b/>
                <w:bCs/>
                <w:color w:val="FFFFFF"/>
                <w:sz w:val="18"/>
                <w:szCs w:val="18"/>
                <w:lang w:eastAsia="es-MX"/>
              </w:rPr>
            </w:pPr>
          </w:p>
        </w:tc>
        <w:tc>
          <w:tcPr>
            <w:tcW w:w="659" w:type="pct"/>
            <w:tcBorders>
              <w:top w:val="nil"/>
              <w:left w:val="single" w:sz="8" w:space="0" w:color="FFFFFF"/>
              <w:bottom w:val="nil"/>
              <w:right w:val="single" w:sz="8" w:space="0" w:color="FFFFFF"/>
            </w:tcBorders>
            <w:shd w:val="clear" w:color="auto" w:fill="D4C19C"/>
            <w:vAlign w:val="center"/>
          </w:tcPr>
          <w:p w:rsidR="007A5850" w:rsidRPr="003E15CE" w:rsidRDefault="007A5850" w:rsidP="001E0E59">
            <w:pPr>
              <w:spacing w:before="20" w:after="20" w:line="240" w:lineRule="auto"/>
              <w:jc w:val="center"/>
              <w:rPr>
                <w:rFonts w:ascii="Montserrat" w:hAnsi="Montserrat"/>
                <w:b/>
                <w:bCs/>
                <w:color w:val="FFFFFF"/>
                <w:sz w:val="18"/>
                <w:szCs w:val="18"/>
                <w:lang w:eastAsia="es-MX"/>
              </w:rPr>
            </w:pPr>
          </w:p>
        </w:tc>
      </w:tr>
      <w:tr w:rsidR="007A5850" w:rsidRPr="001B59BF" w:rsidTr="00FF572A">
        <w:trPr>
          <w:cantSplit/>
          <w:trHeight w:val="70"/>
          <w:jc w:val="center"/>
        </w:trPr>
        <w:tc>
          <w:tcPr>
            <w:tcW w:w="3754" w:type="pct"/>
            <w:gridSpan w:val="2"/>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587"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659"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bl>
    <w:p w:rsidR="00FF572A" w:rsidRDefault="00FF572A" w:rsidP="007A5850">
      <w:pPr>
        <w:pStyle w:val="TEXTONORMAL"/>
      </w:pPr>
    </w:p>
    <w:tbl>
      <w:tblPr>
        <w:tblW w:w="10401" w:type="dxa"/>
        <w:jc w:val="center"/>
        <w:tblInd w:w="-962" w:type="dxa"/>
        <w:tblCellMar>
          <w:left w:w="70" w:type="dxa"/>
          <w:right w:w="70" w:type="dxa"/>
        </w:tblCellMar>
        <w:tblLook w:val="04A0" w:firstRow="1" w:lastRow="0" w:firstColumn="1" w:lastColumn="0" w:noHBand="0" w:noVBand="1"/>
      </w:tblPr>
      <w:tblGrid>
        <w:gridCol w:w="7809"/>
        <w:gridCol w:w="1221"/>
        <w:gridCol w:w="1371"/>
      </w:tblGrid>
      <w:tr w:rsidR="00FF572A" w:rsidRPr="003E15CE" w:rsidTr="00FF572A">
        <w:trPr>
          <w:cantSplit/>
          <w:jc w:val="center"/>
        </w:trPr>
        <w:tc>
          <w:tcPr>
            <w:tcW w:w="3754" w:type="pct"/>
            <w:tcBorders>
              <w:top w:val="nil"/>
              <w:left w:val="nil"/>
              <w:bottom w:val="nil"/>
              <w:right w:val="single" w:sz="8" w:space="0" w:color="FFFFFF"/>
            </w:tcBorders>
            <w:shd w:val="clear" w:color="auto" w:fill="D4C19C"/>
            <w:vAlign w:val="center"/>
            <w:hideMark/>
          </w:tcPr>
          <w:p w:rsidR="00FF572A" w:rsidRPr="003E15CE" w:rsidRDefault="00FF572A" w:rsidP="00FF572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587" w:type="pct"/>
            <w:tcBorders>
              <w:top w:val="nil"/>
              <w:left w:val="single" w:sz="8" w:space="0" w:color="FFFFFF"/>
              <w:bottom w:val="nil"/>
              <w:right w:val="single" w:sz="8" w:space="0" w:color="FFFFFF"/>
            </w:tcBorders>
            <w:shd w:val="clear" w:color="auto" w:fill="D4C19C"/>
            <w:vAlign w:val="center"/>
            <w:hideMark/>
          </w:tcPr>
          <w:p w:rsidR="00FF572A" w:rsidRPr="003E15CE" w:rsidRDefault="00FF572A" w:rsidP="003B7CC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w:t>
            </w:r>
            <w:r w:rsidR="003B7CCA">
              <w:rPr>
                <w:rFonts w:ascii="Montserrat" w:hAnsi="Montserrat"/>
                <w:b/>
                <w:bCs/>
                <w:color w:val="FFFFFF"/>
                <w:sz w:val="18"/>
                <w:szCs w:val="18"/>
                <w:lang w:eastAsia="es-MX"/>
              </w:rPr>
              <w:t>22</w:t>
            </w:r>
          </w:p>
        </w:tc>
        <w:tc>
          <w:tcPr>
            <w:tcW w:w="659" w:type="pct"/>
            <w:tcBorders>
              <w:top w:val="nil"/>
              <w:left w:val="single" w:sz="8" w:space="0" w:color="FFFFFF"/>
              <w:bottom w:val="nil"/>
              <w:right w:val="single" w:sz="8" w:space="0" w:color="FFFFFF"/>
            </w:tcBorders>
            <w:shd w:val="clear" w:color="auto" w:fill="D4C19C"/>
            <w:vAlign w:val="center"/>
            <w:hideMark/>
          </w:tcPr>
          <w:p w:rsidR="00FF572A" w:rsidRPr="003E15CE" w:rsidRDefault="00FF572A" w:rsidP="003B7CCA">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3B7CCA">
              <w:rPr>
                <w:rFonts w:ascii="Montserrat" w:hAnsi="Montserrat"/>
                <w:b/>
                <w:bCs/>
                <w:color w:val="FFFFFF"/>
                <w:sz w:val="18"/>
                <w:szCs w:val="18"/>
                <w:lang w:eastAsia="es-MX"/>
              </w:rPr>
              <w:t>1</w:t>
            </w:r>
          </w:p>
        </w:tc>
      </w:tr>
      <w:tr w:rsidR="00FF572A" w:rsidRPr="003E15CE" w:rsidTr="00FF572A">
        <w:trPr>
          <w:cantSplit/>
          <w:trHeight w:val="70"/>
          <w:jc w:val="center"/>
        </w:trPr>
        <w:tc>
          <w:tcPr>
            <w:tcW w:w="3754" w:type="pct"/>
            <w:tcBorders>
              <w:top w:val="nil"/>
              <w:left w:val="nil"/>
              <w:bottom w:val="double" w:sz="12" w:space="0" w:color="808080"/>
              <w:right w:val="nil"/>
            </w:tcBorders>
            <w:vAlign w:val="center"/>
          </w:tcPr>
          <w:p w:rsidR="00FF572A" w:rsidRPr="003E15CE" w:rsidRDefault="00FF572A" w:rsidP="00FF572A">
            <w:pPr>
              <w:spacing w:after="0" w:line="40" w:lineRule="atLeast"/>
              <w:jc w:val="center"/>
              <w:rPr>
                <w:rFonts w:ascii="Montserrat" w:hAnsi="Montserrat"/>
                <w:b/>
                <w:bCs/>
                <w:sz w:val="18"/>
                <w:szCs w:val="18"/>
                <w:lang w:eastAsia="es-MX"/>
              </w:rPr>
            </w:pPr>
          </w:p>
        </w:tc>
        <w:tc>
          <w:tcPr>
            <w:tcW w:w="587" w:type="pct"/>
            <w:tcBorders>
              <w:top w:val="nil"/>
              <w:left w:val="nil"/>
              <w:bottom w:val="double" w:sz="12" w:space="0" w:color="808080"/>
              <w:right w:val="nil"/>
            </w:tcBorders>
            <w:vAlign w:val="center"/>
          </w:tcPr>
          <w:p w:rsidR="00FF572A" w:rsidRPr="003E15CE" w:rsidRDefault="00FF572A" w:rsidP="00FF572A">
            <w:pPr>
              <w:spacing w:after="0" w:line="40" w:lineRule="atLeast"/>
              <w:jc w:val="center"/>
              <w:rPr>
                <w:rFonts w:ascii="Montserrat" w:hAnsi="Montserrat"/>
                <w:b/>
                <w:bCs/>
                <w:sz w:val="18"/>
                <w:szCs w:val="18"/>
                <w:lang w:eastAsia="es-MX"/>
              </w:rPr>
            </w:pPr>
          </w:p>
        </w:tc>
        <w:tc>
          <w:tcPr>
            <w:tcW w:w="659" w:type="pct"/>
            <w:tcBorders>
              <w:top w:val="nil"/>
              <w:left w:val="nil"/>
              <w:bottom w:val="double" w:sz="12" w:space="0" w:color="808080"/>
              <w:right w:val="nil"/>
            </w:tcBorders>
            <w:vAlign w:val="center"/>
          </w:tcPr>
          <w:p w:rsidR="00FF572A" w:rsidRPr="003E15CE" w:rsidRDefault="00FF572A" w:rsidP="00FF572A">
            <w:pPr>
              <w:spacing w:after="0" w:line="40" w:lineRule="atLeast"/>
              <w:jc w:val="center"/>
              <w:rPr>
                <w:rFonts w:ascii="Montserrat" w:hAnsi="Montserrat"/>
                <w:b/>
                <w:bCs/>
                <w:sz w:val="18"/>
                <w:szCs w:val="18"/>
                <w:lang w:eastAsia="es-MX"/>
              </w:rPr>
            </w:pPr>
          </w:p>
        </w:tc>
      </w:tr>
      <w:tr w:rsidR="00240BD7" w:rsidRPr="003E15CE" w:rsidTr="00FF572A">
        <w:trPr>
          <w:cantSplit/>
          <w:jc w:val="center"/>
        </w:trPr>
        <w:tc>
          <w:tcPr>
            <w:tcW w:w="3754" w:type="pct"/>
            <w:tcBorders>
              <w:top w:val="double" w:sz="12" w:space="0" w:color="808080"/>
              <w:left w:val="nil"/>
              <w:bottom w:val="nil"/>
              <w:right w:val="nil"/>
            </w:tcBorders>
            <w:shd w:val="clear" w:color="auto" w:fill="F2F2F2"/>
            <w:noWrap/>
            <w:vAlign w:val="center"/>
            <w:hideMark/>
          </w:tcPr>
          <w:p w:rsidR="00240BD7" w:rsidRPr="003E15CE" w:rsidRDefault="00240BD7" w:rsidP="00FF572A">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587" w:type="pct"/>
            <w:tcBorders>
              <w:top w:val="double" w:sz="12" w:space="0" w:color="808080"/>
              <w:left w:val="nil"/>
              <w:bottom w:val="nil"/>
              <w:right w:val="nil"/>
            </w:tcBorders>
            <w:shd w:val="clear" w:color="auto" w:fill="F2F2F2"/>
            <w:vAlign w:val="center"/>
            <w:hideMark/>
          </w:tcPr>
          <w:p w:rsidR="00240BD7" w:rsidRPr="003E15CE" w:rsidRDefault="003B7CCA" w:rsidP="00FF572A">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55,250,578</w:t>
            </w:r>
          </w:p>
        </w:tc>
        <w:tc>
          <w:tcPr>
            <w:tcW w:w="659" w:type="pct"/>
            <w:tcBorders>
              <w:top w:val="double" w:sz="12" w:space="0" w:color="808080"/>
              <w:left w:val="nil"/>
              <w:bottom w:val="nil"/>
              <w:right w:val="nil"/>
            </w:tcBorders>
            <w:shd w:val="clear" w:color="auto" w:fill="F2F2F2"/>
            <w:vAlign w:val="center"/>
            <w:hideMark/>
          </w:tcPr>
          <w:p w:rsidR="00240BD7" w:rsidRPr="003E15CE" w:rsidRDefault="00240BD7" w:rsidP="009846C8">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73,770,969</w:t>
            </w:r>
          </w:p>
        </w:tc>
      </w:tr>
      <w:tr w:rsidR="00240BD7" w:rsidRPr="003E15CE" w:rsidTr="00FF572A">
        <w:trPr>
          <w:cantSplit/>
          <w:jc w:val="center"/>
        </w:trPr>
        <w:tc>
          <w:tcPr>
            <w:tcW w:w="3754" w:type="pct"/>
            <w:shd w:val="clear" w:color="auto" w:fill="F2F2F2"/>
            <w:noWrap/>
            <w:vAlign w:val="center"/>
            <w:hideMark/>
          </w:tcPr>
          <w:p w:rsidR="00240BD7" w:rsidRPr="003E15CE" w:rsidRDefault="00240BD7" w:rsidP="00FF572A">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Estimaciones, Depreciaciones, Deterioros, Obsolescencias y Amortización</w:t>
            </w:r>
          </w:p>
        </w:tc>
        <w:tc>
          <w:tcPr>
            <w:tcW w:w="587" w:type="pct"/>
            <w:shd w:val="clear" w:color="auto" w:fill="F2F2F2"/>
            <w:noWrap/>
            <w:vAlign w:val="center"/>
            <w:hideMark/>
          </w:tcPr>
          <w:p w:rsidR="00240BD7" w:rsidRPr="003E15CE" w:rsidRDefault="003B7CCA" w:rsidP="00FF572A">
            <w:pPr>
              <w:spacing w:before="20" w:after="20" w:line="240" w:lineRule="auto"/>
              <w:jc w:val="right"/>
              <w:rPr>
                <w:rFonts w:ascii="Montserrat" w:hAnsi="Montserrat"/>
                <w:bCs/>
                <w:color w:val="000000"/>
                <w:sz w:val="18"/>
                <w:szCs w:val="18"/>
              </w:rPr>
            </w:pPr>
            <w:r>
              <w:rPr>
                <w:rFonts w:ascii="Montserrat" w:hAnsi="Montserrat"/>
                <w:bCs/>
                <w:color w:val="000000"/>
                <w:sz w:val="18"/>
                <w:szCs w:val="18"/>
              </w:rPr>
              <w:t>55,250,578</w:t>
            </w:r>
          </w:p>
        </w:tc>
        <w:tc>
          <w:tcPr>
            <w:tcW w:w="659" w:type="pct"/>
            <w:shd w:val="clear" w:color="auto" w:fill="F2F2F2"/>
            <w:noWrap/>
            <w:vAlign w:val="center"/>
            <w:hideMark/>
          </w:tcPr>
          <w:p w:rsidR="00240BD7" w:rsidRPr="003E15CE" w:rsidRDefault="00240BD7"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73,770,969</w:t>
            </w:r>
          </w:p>
        </w:tc>
      </w:tr>
    </w:tbl>
    <w:p w:rsidR="00FF572A" w:rsidRDefault="00FF572A" w:rsidP="007A5850">
      <w:pPr>
        <w:pStyle w:val="TEXTONORMAL"/>
      </w:pPr>
    </w:p>
    <w:p w:rsidR="00FF572A" w:rsidRPr="001B59BF" w:rsidRDefault="00FF572A" w:rsidP="007A5850">
      <w:pPr>
        <w:pStyle w:val="TEXTONORMAL"/>
      </w:pPr>
    </w:p>
    <w:p w:rsidR="007A5850" w:rsidRPr="003E15CE" w:rsidRDefault="007A5850" w:rsidP="007A5850">
      <w:pPr>
        <w:pStyle w:val="TEXTONORMAL"/>
        <w:numPr>
          <w:ilvl w:val="0"/>
          <w:numId w:val="14"/>
        </w:numPr>
      </w:pPr>
      <w:r w:rsidRPr="003E15CE">
        <w:t>3.-NOTAS AL ESTADO DE VARIACION EN LA HACIENDA PÚBLICA</w:t>
      </w:r>
    </w:p>
    <w:p w:rsidR="007A5850" w:rsidRDefault="007A5850" w:rsidP="007A5850">
      <w:pPr>
        <w:pStyle w:val="TEXTONORMAL"/>
      </w:pPr>
      <w:r w:rsidRPr="003E15CE">
        <w:t xml:space="preserve">3.1 PATRIMONIO </w:t>
      </w:r>
    </w:p>
    <w:p w:rsidR="00B26D50" w:rsidRPr="003E15CE" w:rsidRDefault="00B26D50" w:rsidP="007A5850">
      <w:pPr>
        <w:pStyle w:val="TEXTONORMAL"/>
      </w:pPr>
    </w:p>
    <w:tbl>
      <w:tblPr>
        <w:tblW w:w="10187" w:type="dxa"/>
        <w:jc w:val="center"/>
        <w:tblInd w:w="-1123" w:type="dxa"/>
        <w:tblCellMar>
          <w:left w:w="70" w:type="dxa"/>
          <w:right w:w="70" w:type="dxa"/>
        </w:tblCellMar>
        <w:tblLook w:val="04A0" w:firstRow="1" w:lastRow="0" w:firstColumn="1" w:lastColumn="0" w:noHBand="0" w:noVBand="1"/>
      </w:tblPr>
      <w:tblGrid>
        <w:gridCol w:w="5395"/>
        <w:gridCol w:w="1844"/>
        <w:gridCol w:w="2948"/>
      </w:tblGrid>
      <w:tr w:rsidR="007A5850" w:rsidRPr="003E15CE" w:rsidTr="00B26D50">
        <w:trPr>
          <w:cantSplit/>
          <w:jc w:val="center"/>
        </w:trPr>
        <w:tc>
          <w:tcPr>
            <w:tcW w:w="2648"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MODIFICACION AL PATRIMONIO CONTRIBUIDO</w:t>
            </w:r>
          </w:p>
        </w:tc>
        <w:tc>
          <w:tcPr>
            <w:tcW w:w="905"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2</w:t>
            </w:r>
          </w:p>
        </w:tc>
        <w:tc>
          <w:tcPr>
            <w:tcW w:w="1447"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1</w:t>
            </w:r>
          </w:p>
        </w:tc>
      </w:tr>
      <w:tr w:rsidR="007A5850" w:rsidRPr="003E15CE" w:rsidTr="00B26D50">
        <w:trPr>
          <w:cantSplit/>
          <w:trHeight w:val="70"/>
          <w:jc w:val="center"/>
        </w:trPr>
        <w:tc>
          <w:tcPr>
            <w:tcW w:w="2648"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05"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447"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240BD7" w:rsidRPr="003E15CE" w:rsidTr="00240BD7">
        <w:trPr>
          <w:cantSplit/>
          <w:jc w:val="center"/>
        </w:trPr>
        <w:tc>
          <w:tcPr>
            <w:tcW w:w="2648" w:type="pct"/>
            <w:tcBorders>
              <w:top w:val="double" w:sz="12" w:space="0" w:color="808080"/>
              <w:left w:val="nil"/>
              <w:bottom w:val="nil"/>
              <w:right w:val="nil"/>
            </w:tcBorders>
            <w:shd w:val="clear" w:color="auto" w:fill="F2F2F2"/>
            <w:noWrap/>
            <w:vAlign w:val="center"/>
            <w:hideMark/>
          </w:tcPr>
          <w:p w:rsidR="00240BD7" w:rsidRPr="003E15CE" w:rsidRDefault="00240BD7"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905" w:type="pct"/>
            <w:tcBorders>
              <w:top w:val="double" w:sz="12" w:space="0" w:color="808080"/>
              <w:left w:val="nil"/>
              <w:bottom w:val="nil"/>
              <w:right w:val="nil"/>
            </w:tcBorders>
            <w:shd w:val="clear" w:color="auto" w:fill="F2F2F2"/>
            <w:vAlign w:val="center"/>
          </w:tcPr>
          <w:p w:rsidR="00240BD7" w:rsidRPr="003E15CE" w:rsidRDefault="00635DC3"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16,928,032</w:t>
            </w:r>
          </w:p>
        </w:tc>
        <w:tc>
          <w:tcPr>
            <w:tcW w:w="1447" w:type="pct"/>
            <w:tcBorders>
              <w:top w:val="double" w:sz="12" w:space="0" w:color="808080"/>
              <w:left w:val="nil"/>
              <w:bottom w:val="nil"/>
              <w:right w:val="nil"/>
            </w:tcBorders>
            <w:shd w:val="clear" w:color="auto" w:fill="F2F2F2"/>
            <w:vAlign w:val="center"/>
            <w:hideMark/>
          </w:tcPr>
          <w:p w:rsidR="00240BD7" w:rsidRPr="003E15CE" w:rsidRDefault="00240BD7" w:rsidP="009846C8">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1,964,216</w:t>
            </w:r>
          </w:p>
        </w:tc>
      </w:tr>
      <w:tr w:rsidR="00240BD7" w:rsidRPr="003E15CE" w:rsidTr="00240BD7">
        <w:trPr>
          <w:cantSplit/>
          <w:jc w:val="center"/>
        </w:trPr>
        <w:tc>
          <w:tcPr>
            <w:tcW w:w="2648"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lastRenderedPageBreak/>
              <w:t>Donaciones</w:t>
            </w:r>
          </w:p>
        </w:tc>
        <w:tc>
          <w:tcPr>
            <w:tcW w:w="905" w:type="pct"/>
            <w:shd w:val="clear" w:color="auto" w:fill="F2F2F2"/>
            <w:noWrap/>
            <w:vAlign w:val="center"/>
          </w:tcPr>
          <w:p w:rsidR="00240BD7" w:rsidRPr="003E15CE" w:rsidRDefault="00635DC3"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16,928,032</w:t>
            </w:r>
          </w:p>
        </w:tc>
        <w:tc>
          <w:tcPr>
            <w:tcW w:w="1447" w:type="pct"/>
            <w:shd w:val="clear" w:color="auto" w:fill="F2F2F2"/>
            <w:noWrap/>
            <w:vAlign w:val="center"/>
            <w:hideMark/>
          </w:tcPr>
          <w:p w:rsidR="00240BD7" w:rsidRPr="003E15CE" w:rsidRDefault="00240BD7"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1,964,216</w:t>
            </w:r>
          </w:p>
        </w:tc>
      </w:tr>
    </w:tbl>
    <w:p w:rsidR="007A5850" w:rsidRPr="003E15CE" w:rsidRDefault="007A5850" w:rsidP="007A5850">
      <w:pPr>
        <w:pStyle w:val="TEXTONORMAL"/>
      </w:pPr>
    </w:p>
    <w:tbl>
      <w:tblPr>
        <w:tblW w:w="10319" w:type="dxa"/>
        <w:jc w:val="center"/>
        <w:tblInd w:w="-1542" w:type="dxa"/>
        <w:tblCellMar>
          <w:left w:w="70" w:type="dxa"/>
          <w:right w:w="70" w:type="dxa"/>
        </w:tblCellMar>
        <w:tblLook w:val="04A0" w:firstRow="1" w:lastRow="0" w:firstColumn="1" w:lastColumn="0" w:noHBand="0" w:noVBand="1"/>
      </w:tblPr>
      <w:tblGrid>
        <w:gridCol w:w="5438"/>
        <w:gridCol w:w="1901"/>
        <w:gridCol w:w="2980"/>
      </w:tblGrid>
      <w:tr w:rsidR="007A5850" w:rsidRPr="003E15CE" w:rsidTr="00B26D50">
        <w:trPr>
          <w:cantSplit/>
          <w:jc w:val="center"/>
        </w:trPr>
        <w:tc>
          <w:tcPr>
            <w:tcW w:w="2635"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MODIFICACION AL PATRIMONIO GENERADO</w:t>
            </w:r>
          </w:p>
        </w:tc>
        <w:tc>
          <w:tcPr>
            <w:tcW w:w="921"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2</w:t>
            </w:r>
          </w:p>
        </w:tc>
        <w:tc>
          <w:tcPr>
            <w:tcW w:w="1444"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1</w:t>
            </w:r>
          </w:p>
        </w:tc>
      </w:tr>
      <w:tr w:rsidR="007A5850" w:rsidRPr="003E15CE" w:rsidTr="00B26D50">
        <w:trPr>
          <w:cantSplit/>
          <w:trHeight w:val="70"/>
          <w:jc w:val="center"/>
        </w:trPr>
        <w:tc>
          <w:tcPr>
            <w:tcW w:w="2635"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21"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444"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240BD7" w:rsidRPr="003E15CE" w:rsidTr="00B26D50">
        <w:trPr>
          <w:cantSplit/>
          <w:jc w:val="center"/>
        </w:trPr>
        <w:tc>
          <w:tcPr>
            <w:tcW w:w="2635" w:type="pct"/>
            <w:tcBorders>
              <w:top w:val="double" w:sz="12" w:space="0" w:color="808080"/>
              <w:left w:val="nil"/>
              <w:bottom w:val="nil"/>
              <w:right w:val="nil"/>
            </w:tcBorders>
            <w:shd w:val="clear" w:color="auto" w:fill="F2F2F2"/>
            <w:noWrap/>
            <w:vAlign w:val="center"/>
            <w:hideMark/>
          </w:tcPr>
          <w:p w:rsidR="00240BD7" w:rsidRPr="003E15CE" w:rsidRDefault="00240BD7"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921" w:type="pct"/>
            <w:tcBorders>
              <w:top w:val="double" w:sz="12" w:space="0" w:color="808080"/>
              <w:left w:val="nil"/>
              <w:bottom w:val="nil"/>
              <w:right w:val="nil"/>
            </w:tcBorders>
            <w:shd w:val="clear" w:color="auto" w:fill="F2F2F2"/>
            <w:vAlign w:val="center"/>
          </w:tcPr>
          <w:p w:rsidR="00240BD7" w:rsidRPr="003E15CE" w:rsidRDefault="00240BD7" w:rsidP="001E0E59">
            <w:pPr>
              <w:spacing w:before="20" w:after="20" w:line="240" w:lineRule="auto"/>
              <w:jc w:val="right"/>
              <w:rPr>
                <w:rFonts w:ascii="Montserrat" w:hAnsi="Montserrat"/>
                <w:b/>
                <w:bCs/>
                <w:color w:val="000000"/>
                <w:sz w:val="18"/>
                <w:szCs w:val="18"/>
              </w:rPr>
            </w:pPr>
          </w:p>
        </w:tc>
        <w:tc>
          <w:tcPr>
            <w:tcW w:w="1444" w:type="pct"/>
            <w:tcBorders>
              <w:top w:val="double" w:sz="12" w:space="0" w:color="808080"/>
              <w:left w:val="nil"/>
              <w:bottom w:val="nil"/>
              <w:right w:val="nil"/>
            </w:tcBorders>
            <w:shd w:val="clear" w:color="auto" w:fill="F2F2F2"/>
            <w:vAlign w:val="center"/>
            <w:hideMark/>
          </w:tcPr>
          <w:p w:rsidR="00240BD7" w:rsidRPr="003E15CE" w:rsidRDefault="00240BD7" w:rsidP="009846C8">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-99,800,092</w:t>
            </w:r>
          </w:p>
        </w:tc>
      </w:tr>
      <w:tr w:rsidR="00240BD7" w:rsidRPr="003E15CE" w:rsidTr="00B26D50">
        <w:trPr>
          <w:cantSplit/>
          <w:jc w:val="center"/>
        </w:trPr>
        <w:tc>
          <w:tcPr>
            <w:tcW w:w="2635"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Resultado del ejercicio(ahorro/Desahorro)</w:t>
            </w:r>
          </w:p>
        </w:tc>
        <w:tc>
          <w:tcPr>
            <w:tcW w:w="921" w:type="pct"/>
            <w:shd w:val="clear" w:color="auto" w:fill="F2F2F2"/>
            <w:noWrap/>
            <w:vAlign w:val="center"/>
          </w:tcPr>
          <w:p w:rsidR="00240BD7" w:rsidRPr="003E15CE" w:rsidRDefault="000E71DF" w:rsidP="000E71DF">
            <w:pPr>
              <w:spacing w:before="20" w:after="20" w:line="240" w:lineRule="auto"/>
              <w:jc w:val="right"/>
              <w:rPr>
                <w:rFonts w:ascii="Montserrat" w:hAnsi="Montserrat"/>
                <w:bCs/>
                <w:color w:val="000000"/>
                <w:sz w:val="18"/>
                <w:szCs w:val="18"/>
              </w:rPr>
            </w:pPr>
            <w:r>
              <w:rPr>
                <w:rFonts w:ascii="Montserrat" w:hAnsi="Montserrat"/>
                <w:bCs/>
                <w:color w:val="000000"/>
                <w:sz w:val="18"/>
                <w:szCs w:val="18"/>
              </w:rPr>
              <w:t>-44,599,708</w:t>
            </w:r>
          </w:p>
        </w:tc>
        <w:tc>
          <w:tcPr>
            <w:tcW w:w="1444" w:type="pct"/>
            <w:shd w:val="clear" w:color="auto" w:fill="F2F2F2"/>
            <w:noWrap/>
            <w:vAlign w:val="center"/>
            <w:hideMark/>
          </w:tcPr>
          <w:p w:rsidR="00240BD7" w:rsidRPr="003E15CE" w:rsidRDefault="00240BD7"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-99,812,086</w:t>
            </w:r>
          </w:p>
        </w:tc>
      </w:tr>
      <w:tr w:rsidR="00240BD7" w:rsidRPr="003E15CE" w:rsidTr="00B26D50">
        <w:trPr>
          <w:cantSplit/>
          <w:jc w:val="center"/>
        </w:trPr>
        <w:tc>
          <w:tcPr>
            <w:tcW w:w="2635"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Resultado de Ejercicios Anteriores</w:t>
            </w:r>
          </w:p>
        </w:tc>
        <w:tc>
          <w:tcPr>
            <w:tcW w:w="921" w:type="pct"/>
            <w:shd w:val="clear" w:color="auto" w:fill="F2F2F2"/>
            <w:noWrap/>
            <w:vAlign w:val="center"/>
          </w:tcPr>
          <w:p w:rsidR="00240BD7" w:rsidRPr="003E15CE" w:rsidRDefault="000E71DF"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18,142</w:t>
            </w:r>
          </w:p>
        </w:tc>
        <w:tc>
          <w:tcPr>
            <w:tcW w:w="1444" w:type="pct"/>
            <w:shd w:val="clear" w:color="auto" w:fill="F2F2F2"/>
            <w:noWrap/>
            <w:vAlign w:val="center"/>
            <w:hideMark/>
          </w:tcPr>
          <w:p w:rsidR="00240BD7" w:rsidRPr="003E15CE" w:rsidRDefault="00240BD7"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11,994</w:t>
            </w:r>
          </w:p>
        </w:tc>
      </w:tr>
    </w:tbl>
    <w:p w:rsidR="007A5850" w:rsidRPr="003E15CE" w:rsidRDefault="007A5850" w:rsidP="007A5850">
      <w:pPr>
        <w:pStyle w:val="TEXTONORMAL"/>
      </w:pPr>
    </w:p>
    <w:p w:rsidR="007A5850" w:rsidRPr="003E15CE" w:rsidRDefault="007A5850" w:rsidP="007A5850">
      <w:pPr>
        <w:pStyle w:val="TEXTONORMAL"/>
        <w:numPr>
          <w:ilvl w:val="0"/>
          <w:numId w:val="14"/>
        </w:numPr>
      </w:pPr>
      <w:r w:rsidRPr="003E15CE">
        <w:t>4.-NOTAS AL ESTADO DE FLUJOS DE EFECTIVO</w:t>
      </w:r>
    </w:p>
    <w:p w:rsidR="007A5850" w:rsidRPr="001B59BF" w:rsidRDefault="007A5850" w:rsidP="007A5850">
      <w:pPr>
        <w:pStyle w:val="TEXTONORMAL"/>
        <w:numPr>
          <w:ilvl w:val="0"/>
          <w:numId w:val="17"/>
        </w:numPr>
      </w:pPr>
      <w:r w:rsidRPr="003E15CE">
        <w:t>4.1 EFECTIVO Y EQUIVALENTES</w:t>
      </w:r>
    </w:p>
    <w:tbl>
      <w:tblPr>
        <w:tblW w:w="10117" w:type="dxa"/>
        <w:jc w:val="center"/>
        <w:tblInd w:w="-2195" w:type="dxa"/>
        <w:tblCellMar>
          <w:left w:w="70" w:type="dxa"/>
          <w:right w:w="70" w:type="dxa"/>
        </w:tblCellMar>
        <w:tblLook w:val="04A0" w:firstRow="1" w:lastRow="0" w:firstColumn="1" w:lastColumn="0" w:noHBand="0" w:noVBand="1"/>
      </w:tblPr>
      <w:tblGrid>
        <w:gridCol w:w="5298"/>
        <w:gridCol w:w="1843"/>
        <w:gridCol w:w="2976"/>
      </w:tblGrid>
      <w:tr w:rsidR="007A5850" w:rsidRPr="003E15CE" w:rsidTr="00240BD7">
        <w:trPr>
          <w:cantSplit/>
          <w:jc w:val="center"/>
        </w:trPr>
        <w:tc>
          <w:tcPr>
            <w:tcW w:w="2618"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911"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2</w:t>
            </w:r>
          </w:p>
        </w:tc>
        <w:tc>
          <w:tcPr>
            <w:tcW w:w="1471"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1</w:t>
            </w:r>
          </w:p>
        </w:tc>
      </w:tr>
      <w:tr w:rsidR="007A5850" w:rsidRPr="003E15CE" w:rsidTr="00240BD7">
        <w:trPr>
          <w:cantSplit/>
          <w:trHeight w:val="70"/>
          <w:jc w:val="center"/>
        </w:trPr>
        <w:tc>
          <w:tcPr>
            <w:tcW w:w="2618"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11"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1471"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240BD7" w:rsidRPr="003E15CE" w:rsidTr="00240BD7">
        <w:trPr>
          <w:cantSplit/>
          <w:jc w:val="center"/>
        </w:trPr>
        <w:tc>
          <w:tcPr>
            <w:tcW w:w="2618" w:type="pct"/>
            <w:tcBorders>
              <w:top w:val="double" w:sz="12" w:space="0" w:color="808080"/>
              <w:left w:val="nil"/>
              <w:bottom w:val="nil"/>
              <w:right w:val="nil"/>
            </w:tcBorders>
            <w:shd w:val="clear" w:color="auto" w:fill="F2F2F2"/>
            <w:noWrap/>
            <w:vAlign w:val="center"/>
            <w:hideMark/>
          </w:tcPr>
          <w:p w:rsidR="00240BD7" w:rsidRPr="003E15CE" w:rsidRDefault="00240BD7" w:rsidP="001E0E59">
            <w:pPr>
              <w:spacing w:before="20" w:after="20" w:line="240" w:lineRule="auto"/>
              <w:rPr>
                <w:rFonts w:ascii="Montserrat" w:hAnsi="Montserrat"/>
                <w:b/>
                <w:bCs/>
                <w:color w:val="000000"/>
                <w:sz w:val="18"/>
                <w:szCs w:val="18"/>
              </w:rPr>
            </w:pPr>
            <w:r w:rsidRPr="003E15CE">
              <w:rPr>
                <w:rFonts w:ascii="Montserrat" w:hAnsi="Montserrat"/>
                <w:b/>
                <w:bCs/>
                <w:color w:val="000000"/>
                <w:sz w:val="18"/>
                <w:szCs w:val="18"/>
              </w:rPr>
              <w:t>TOTAL</w:t>
            </w:r>
          </w:p>
        </w:tc>
        <w:tc>
          <w:tcPr>
            <w:tcW w:w="911" w:type="pct"/>
            <w:tcBorders>
              <w:top w:val="double" w:sz="12" w:space="0" w:color="808080"/>
              <w:left w:val="nil"/>
              <w:bottom w:val="nil"/>
              <w:right w:val="nil"/>
            </w:tcBorders>
            <w:shd w:val="clear" w:color="auto" w:fill="F2F2F2"/>
            <w:vAlign w:val="center"/>
          </w:tcPr>
          <w:p w:rsidR="00240BD7" w:rsidRPr="003E15CE" w:rsidRDefault="000E71DF" w:rsidP="001E0E59">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46,349,482</w:t>
            </w:r>
          </w:p>
        </w:tc>
        <w:tc>
          <w:tcPr>
            <w:tcW w:w="1471" w:type="pct"/>
            <w:tcBorders>
              <w:top w:val="double" w:sz="12" w:space="0" w:color="808080"/>
              <w:left w:val="nil"/>
              <w:bottom w:val="nil"/>
              <w:right w:val="nil"/>
            </w:tcBorders>
            <w:shd w:val="clear" w:color="auto" w:fill="F2F2F2"/>
            <w:vAlign w:val="center"/>
            <w:hideMark/>
          </w:tcPr>
          <w:p w:rsidR="00240BD7" w:rsidRPr="003E15CE" w:rsidRDefault="00240BD7" w:rsidP="009846C8">
            <w:pPr>
              <w:spacing w:before="20" w:after="20" w:line="240" w:lineRule="auto"/>
              <w:jc w:val="right"/>
              <w:rPr>
                <w:rFonts w:ascii="Montserrat" w:hAnsi="Montserrat"/>
                <w:b/>
                <w:bCs/>
                <w:color w:val="000000"/>
                <w:sz w:val="18"/>
                <w:szCs w:val="18"/>
              </w:rPr>
            </w:pPr>
            <w:r w:rsidRPr="003E15CE">
              <w:rPr>
                <w:rFonts w:ascii="Montserrat" w:hAnsi="Montserrat"/>
                <w:b/>
                <w:bCs/>
                <w:color w:val="000000"/>
                <w:sz w:val="18"/>
                <w:szCs w:val="18"/>
              </w:rPr>
              <w:t>37,712,450</w:t>
            </w:r>
          </w:p>
        </w:tc>
      </w:tr>
      <w:tr w:rsidR="00240BD7" w:rsidRPr="003E15CE" w:rsidTr="00240BD7">
        <w:trPr>
          <w:cantSplit/>
          <w:jc w:val="center"/>
        </w:trPr>
        <w:tc>
          <w:tcPr>
            <w:tcW w:w="2618"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Efectivo en Bancos- Tesorería</w:t>
            </w:r>
          </w:p>
        </w:tc>
        <w:tc>
          <w:tcPr>
            <w:tcW w:w="911" w:type="pct"/>
            <w:shd w:val="clear" w:color="auto" w:fill="F2F2F2"/>
            <w:noWrap/>
            <w:vAlign w:val="center"/>
          </w:tcPr>
          <w:p w:rsidR="00240BD7" w:rsidRPr="003E15CE" w:rsidRDefault="000E71DF" w:rsidP="001E0E59">
            <w:pPr>
              <w:spacing w:before="20" w:after="20" w:line="240" w:lineRule="auto"/>
              <w:jc w:val="right"/>
              <w:rPr>
                <w:rFonts w:ascii="Montserrat" w:hAnsi="Montserrat"/>
                <w:bCs/>
                <w:color w:val="000000"/>
                <w:sz w:val="18"/>
                <w:szCs w:val="18"/>
              </w:rPr>
            </w:pPr>
            <w:r>
              <w:rPr>
                <w:rFonts w:ascii="Montserrat" w:hAnsi="Montserrat"/>
                <w:bCs/>
                <w:color w:val="000000"/>
                <w:sz w:val="18"/>
                <w:szCs w:val="18"/>
              </w:rPr>
              <w:t>19,949,976</w:t>
            </w:r>
          </w:p>
        </w:tc>
        <w:tc>
          <w:tcPr>
            <w:tcW w:w="1471" w:type="pct"/>
            <w:shd w:val="clear" w:color="auto" w:fill="F2F2F2"/>
            <w:noWrap/>
            <w:vAlign w:val="center"/>
            <w:hideMark/>
          </w:tcPr>
          <w:p w:rsidR="00240BD7" w:rsidRPr="003E15CE" w:rsidRDefault="00240BD7" w:rsidP="009846C8">
            <w:pPr>
              <w:spacing w:before="20" w:after="20" w:line="240" w:lineRule="auto"/>
              <w:jc w:val="right"/>
              <w:rPr>
                <w:rFonts w:ascii="Montserrat" w:hAnsi="Montserrat"/>
                <w:bCs/>
                <w:color w:val="000000"/>
                <w:sz w:val="18"/>
                <w:szCs w:val="18"/>
              </w:rPr>
            </w:pPr>
            <w:r w:rsidRPr="003E15CE">
              <w:rPr>
                <w:rFonts w:ascii="Montserrat" w:hAnsi="Montserrat"/>
                <w:bCs/>
                <w:color w:val="000000"/>
                <w:sz w:val="18"/>
                <w:szCs w:val="18"/>
              </w:rPr>
              <w:t>2.706,961</w:t>
            </w:r>
          </w:p>
        </w:tc>
      </w:tr>
      <w:tr w:rsidR="00240BD7" w:rsidRPr="003E15CE" w:rsidTr="00240BD7">
        <w:trPr>
          <w:cantSplit/>
          <w:jc w:val="center"/>
        </w:trPr>
        <w:tc>
          <w:tcPr>
            <w:tcW w:w="2618"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Depósito de Fondos de Terceros y Otros</w:t>
            </w:r>
          </w:p>
        </w:tc>
        <w:tc>
          <w:tcPr>
            <w:tcW w:w="911" w:type="pct"/>
            <w:shd w:val="clear" w:color="auto" w:fill="F2F2F2"/>
            <w:noWrap/>
            <w:vAlign w:val="center"/>
          </w:tcPr>
          <w:p w:rsidR="00240BD7" w:rsidRPr="003E15CE" w:rsidRDefault="000E71DF" w:rsidP="001E0E59">
            <w:pPr>
              <w:spacing w:before="20" w:after="20" w:line="240" w:lineRule="auto"/>
              <w:jc w:val="right"/>
              <w:rPr>
                <w:rFonts w:ascii="Montserrat" w:hAnsi="Montserrat"/>
                <w:bCs/>
                <w:color w:val="000000"/>
                <w:sz w:val="18"/>
                <w:szCs w:val="18"/>
                <w:lang w:val="es-MX"/>
              </w:rPr>
            </w:pPr>
            <w:r>
              <w:rPr>
                <w:rFonts w:ascii="Montserrat" w:hAnsi="Montserrat"/>
                <w:bCs/>
                <w:color w:val="000000"/>
                <w:sz w:val="18"/>
                <w:szCs w:val="18"/>
                <w:lang w:val="es-MX"/>
              </w:rPr>
              <w:t>26,399,506</w:t>
            </w:r>
          </w:p>
        </w:tc>
        <w:tc>
          <w:tcPr>
            <w:tcW w:w="1471" w:type="pct"/>
            <w:shd w:val="clear" w:color="auto" w:fill="F2F2F2"/>
            <w:noWrap/>
            <w:vAlign w:val="center"/>
            <w:hideMark/>
          </w:tcPr>
          <w:p w:rsidR="00240BD7" w:rsidRPr="003E15CE" w:rsidRDefault="00240BD7" w:rsidP="009846C8">
            <w:pPr>
              <w:spacing w:before="20" w:after="20" w:line="240" w:lineRule="auto"/>
              <w:jc w:val="right"/>
              <w:rPr>
                <w:rFonts w:ascii="Montserrat" w:hAnsi="Montserrat"/>
                <w:bCs/>
                <w:color w:val="000000"/>
                <w:sz w:val="18"/>
                <w:szCs w:val="18"/>
                <w:lang w:val="es-MX"/>
              </w:rPr>
            </w:pPr>
            <w:r w:rsidRPr="003E15CE">
              <w:rPr>
                <w:rFonts w:ascii="Montserrat" w:hAnsi="Montserrat"/>
                <w:bCs/>
                <w:color w:val="000000"/>
                <w:sz w:val="18"/>
                <w:szCs w:val="18"/>
              </w:rPr>
              <w:t>35,005,489</w:t>
            </w:r>
          </w:p>
        </w:tc>
      </w:tr>
    </w:tbl>
    <w:p w:rsidR="007A5850" w:rsidRPr="003E15CE" w:rsidRDefault="007A5850" w:rsidP="007A5850">
      <w:pPr>
        <w:pStyle w:val="TEXTONORMAL"/>
      </w:pPr>
    </w:p>
    <w:tbl>
      <w:tblPr>
        <w:tblW w:w="9967" w:type="dxa"/>
        <w:jc w:val="center"/>
        <w:tblInd w:w="-1400" w:type="dxa"/>
        <w:tblCellMar>
          <w:left w:w="70" w:type="dxa"/>
          <w:right w:w="70" w:type="dxa"/>
        </w:tblCellMar>
        <w:tblLook w:val="04A0" w:firstRow="1" w:lastRow="0" w:firstColumn="1" w:lastColumn="0" w:noHBand="0" w:noVBand="1"/>
      </w:tblPr>
      <w:tblGrid>
        <w:gridCol w:w="6729"/>
        <w:gridCol w:w="1334"/>
        <w:gridCol w:w="1904"/>
      </w:tblGrid>
      <w:tr w:rsidR="007A5850" w:rsidRPr="003E15CE" w:rsidTr="00240BD7">
        <w:trPr>
          <w:cantSplit/>
          <w:jc w:val="center"/>
        </w:trPr>
        <w:tc>
          <w:tcPr>
            <w:tcW w:w="3376" w:type="pct"/>
            <w:tcBorders>
              <w:top w:val="nil"/>
              <w:left w:val="nil"/>
              <w:bottom w:val="nil"/>
              <w:right w:val="single" w:sz="8" w:space="0" w:color="FFFFFF"/>
            </w:tcBorders>
            <w:shd w:val="clear" w:color="auto" w:fill="D4C19C"/>
            <w:vAlign w:val="center"/>
            <w:hideMark/>
          </w:tcPr>
          <w:p w:rsidR="007A5850" w:rsidRPr="003E15CE" w:rsidRDefault="007A5850" w:rsidP="001E0E59">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CONCEPTO</w:t>
            </w:r>
          </w:p>
        </w:tc>
        <w:tc>
          <w:tcPr>
            <w:tcW w:w="669"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2</w:t>
            </w:r>
          </w:p>
        </w:tc>
        <w:tc>
          <w:tcPr>
            <w:tcW w:w="955" w:type="pct"/>
            <w:tcBorders>
              <w:top w:val="nil"/>
              <w:left w:val="single" w:sz="8" w:space="0" w:color="FFFFFF"/>
              <w:bottom w:val="nil"/>
              <w:right w:val="single" w:sz="8" w:space="0" w:color="FFFFFF"/>
            </w:tcBorders>
            <w:shd w:val="clear" w:color="auto" w:fill="D4C19C"/>
            <w:vAlign w:val="center"/>
            <w:hideMark/>
          </w:tcPr>
          <w:p w:rsidR="007A5850" w:rsidRPr="003E15CE" w:rsidRDefault="007A5850" w:rsidP="00240BD7">
            <w:pPr>
              <w:spacing w:before="20" w:after="20" w:line="240" w:lineRule="auto"/>
              <w:jc w:val="center"/>
              <w:rPr>
                <w:rFonts w:ascii="Montserrat" w:hAnsi="Montserrat"/>
                <w:b/>
                <w:bCs/>
                <w:color w:val="FFFFFF"/>
                <w:sz w:val="18"/>
                <w:szCs w:val="18"/>
                <w:lang w:eastAsia="es-MX"/>
              </w:rPr>
            </w:pPr>
            <w:r w:rsidRPr="003E15CE">
              <w:rPr>
                <w:rFonts w:ascii="Montserrat" w:hAnsi="Montserrat"/>
                <w:b/>
                <w:bCs/>
                <w:color w:val="FFFFFF"/>
                <w:sz w:val="18"/>
                <w:szCs w:val="18"/>
                <w:lang w:eastAsia="es-MX"/>
              </w:rPr>
              <w:t>202</w:t>
            </w:r>
            <w:r w:rsidR="00240BD7">
              <w:rPr>
                <w:rFonts w:ascii="Montserrat" w:hAnsi="Montserrat"/>
                <w:b/>
                <w:bCs/>
                <w:color w:val="FFFFFF"/>
                <w:sz w:val="18"/>
                <w:szCs w:val="18"/>
                <w:lang w:eastAsia="es-MX"/>
              </w:rPr>
              <w:t>1</w:t>
            </w:r>
          </w:p>
        </w:tc>
      </w:tr>
      <w:tr w:rsidR="007A5850" w:rsidRPr="003E15CE" w:rsidTr="00240BD7">
        <w:trPr>
          <w:cantSplit/>
          <w:trHeight w:val="70"/>
          <w:jc w:val="center"/>
        </w:trPr>
        <w:tc>
          <w:tcPr>
            <w:tcW w:w="3376"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669"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c>
          <w:tcPr>
            <w:tcW w:w="955" w:type="pct"/>
            <w:tcBorders>
              <w:top w:val="nil"/>
              <w:left w:val="nil"/>
              <w:bottom w:val="double" w:sz="12" w:space="0" w:color="808080"/>
              <w:right w:val="nil"/>
            </w:tcBorders>
            <w:vAlign w:val="center"/>
          </w:tcPr>
          <w:p w:rsidR="007A5850" w:rsidRPr="003E15CE" w:rsidRDefault="007A5850" w:rsidP="001E0E59">
            <w:pPr>
              <w:spacing w:after="0" w:line="40" w:lineRule="atLeast"/>
              <w:jc w:val="center"/>
              <w:rPr>
                <w:rFonts w:ascii="Montserrat" w:hAnsi="Montserrat"/>
                <w:b/>
                <w:bCs/>
                <w:sz w:val="18"/>
                <w:szCs w:val="18"/>
                <w:lang w:eastAsia="es-MX"/>
              </w:rPr>
            </w:pPr>
          </w:p>
        </w:tc>
      </w:tr>
      <w:tr w:rsidR="00240BD7" w:rsidRPr="003E15CE" w:rsidTr="00240BD7">
        <w:trPr>
          <w:cantSplit/>
          <w:jc w:val="center"/>
        </w:trPr>
        <w:tc>
          <w:tcPr>
            <w:tcW w:w="3376"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
                <w:bCs/>
                <w:color w:val="000000"/>
                <w:sz w:val="18"/>
                <w:szCs w:val="18"/>
              </w:rPr>
            </w:pPr>
            <w:r w:rsidRPr="003E15CE">
              <w:rPr>
                <w:rFonts w:ascii="Montserrat" w:hAnsi="Montserrat"/>
                <w:b/>
                <w:bCs/>
                <w:color w:val="000000"/>
                <w:sz w:val="18"/>
                <w:szCs w:val="18"/>
              </w:rPr>
              <w:t>Movimientos de partidas (o rubros) que no afectan el efectivo</w:t>
            </w:r>
          </w:p>
        </w:tc>
        <w:tc>
          <w:tcPr>
            <w:tcW w:w="669" w:type="pct"/>
            <w:shd w:val="clear" w:color="auto" w:fill="F2F2F2"/>
            <w:noWrap/>
            <w:vAlign w:val="center"/>
          </w:tcPr>
          <w:p w:rsidR="00240BD7" w:rsidRPr="003E15CE" w:rsidRDefault="00240BD7" w:rsidP="001E0E59">
            <w:pPr>
              <w:spacing w:before="20" w:after="20" w:line="240" w:lineRule="auto"/>
              <w:jc w:val="right"/>
              <w:rPr>
                <w:rFonts w:ascii="Montserrat" w:hAnsi="Montserrat"/>
                <w:b/>
                <w:bCs/>
                <w:color w:val="000000"/>
                <w:sz w:val="18"/>
                <w:szCs w:val="18"/>
              </w:rPr>
            </w:pPr>
          </w:p>
        </w:tc>
        <w:tc>
          <w:tcPr>
            <w:tcW w:w="955" w:type="pct"/>
            <w:shd w:val="clear" w:color="auto" w:fill="F2F2F2"/>
            <w:noWrap/>
            <w:vAlign w:val="center"/>
            <w:hideMark/>
          </w:tcPr>
          <w:p w:rsidR="00240BD7" w:rsidRPr="003E15CE" w:rsidRDefault="003B7CCA" w:rsidP="009846C8">
            <w:pPr>
              <w:spacing w:before="20" w:after="20" w:line="240" w:lineRule="auto"/>
              <w:jc w:val="right"/>
              <w:rPr>
                <w:rFonts w:ascii="Montserrat" w:hAnsi="Montserrat"/>
                <w:b/>
                <w:bCs/>
                <w:color w:val="000000"/>
                <w:sz w:val="18"/>
                <w:szCs w:val="18"/>
              </w:rPr>
            </w:pPr>
            <w:r>
              <w:rPr>
                <w:rFonts w:ascii="Montserrat" w:hAnsi="Montserrat"/>
                <w:b/>
                <w:bCs/>
                <w:color w:val="000000"/>
                <w:sz w:val="18"/>
                <w:szCs w:val="18"/>
              </w:rPr>
              <w:t>55,250,578</w:t>
            </w:r>
          </w:p>
        </w:tc>
      </w:tr>
      <w:tr w:rsidR="00240BD7" w:rsidRPr="003E15CE" w:rsidTr="00240BD7">
        <w:trPr>
          <w:cantSplit/>
          <w:jc w:val="center"/>
        </w:trPr>
        <w:tc>
          <w:tcPr>
            <w:tcW w:w="3376" w:type="pct"/>
            <w:shd w:val="clear" w:color="auto" w:fill="F2F2F2"/>
            <w:noWrap/>
            <w:vAlign w:val="center"/>
            <w:hideMark/>
          </w:tcPr>
          <w:p w:rsidR="00240BD7" w:rsidRPr="003E15CE" w:rsidRDefault="00240BD7" w:rsidP="001E0E59">
            <w:pPr>
              <w:spacing w:before="20" w:after="20" w:line="240" w:lineRule="auto"/>
              <w:jc w:val="both"/>
              <w:rPr>
                <w:rFonts w:ascii="Montserrat" w:hAnsi="Montserrat"/>
                <w:bCs/>
                <w:color w:val="000000"/>
                <w:sz w:val="18"/>
                <w:szCs w:val="18"/>
              </w:rPr>
            </w:pPr>
            <w:r w:rsidRPr="003E15CE">
              <w:rPr>
                <w:rFonts w:ascii="Montserrat" w:hAnsi="Montserrat"/>
                <w:bCs/>
                <w:color w:val="000000"/>
                <w:sz w:val="18"/>
                <w:szCs w:val="18"/>
              </w:rPr>
              <w:t>Depreciación</w:t>
            </w:r>
          </w:p>
        </w:tc>
        <w:tc>
          <w:tcPr>
            <w:tcW w:w="669" w:type="pct"/>
            <w:shd w:val="clear" w:color="auto" w:fill="F2F2F2"/>
            <w:noWrap/>
            <w:vAlign w:val="center"/>
          </w:tcPr>
          <w:p w:rsidR="00240BD7" w:rsidRPr="003E15CE" w:rsidRDefault="00240BD7" w:rsidP="001E0E59">
            <w:pPr>
              <w:spacing w:before="20" w:after="20" w:line="240" w:lineRule="auto"/>
              <w:jc w:val="right"/>
              <w:rPr>
                <w:rFonts w:ascii="Montserrat" w:hAnsi="Montserrat"/>
                <w:bCs/>
                <w:color w:val="000000"/>
                <w:sz w:val="18"/>
                <w:szCs w:val="18"/>
              </w:rPr>
            </w:pPr>
          </w:p>
        </w:tc>
        <w:tc>
          <w:tcPr>
            <w:tcW w:w="955" w:type="pct"/>
            <w:shd w:val="clear" w:color="auto" w:fill="F2F2F2"/>
            <w:noWrap/>
            <w:vAlign w:val="center"/>
            <w:hideMark/>
          </w:tcPr>
          <w:p w:rsidR="00240BD7" w:rsidRPr="003E15CE" w:rsidRDefault="003B7CCA" w:rsidP="009846C8">
            <w:pPr>
              <w:spacing w:before="20" w:after="20" w:line="240" w:lineRule="auto"/>
              <w:jc w:val="right"/>
              <w:rPr>
                <w:rFonts w:ascii="Montserrat" w:hAnsi="Montserrat"/>
                <w:bCs/>
                <w:color w:val="000000"/>
                <w:sz w:val="18"/>
                <w:szCs w:val="18"/>
              </w:rPr>
            </w:pPr>
            <w:r>
              <w:rPr>
                <w:rFonts w:ascii="Montserrat" w:hAnsi="Montserrat"/>
                <w:bCs/>
                <w:color w:val="000000"/>
                <w:sz w:val="18"/>
                <w:szCs w:val="18"/>
              </w:rPr>
              <w:t>55,250,578</w:t>
            </w:r>
          </w:p>
        </w:tc>
      </w:tr>
    </w:tbl>
    <w:p w:rsidR="007A5850" w:rsidRPr="003E15CE" w:rsidRDefault="007A5850" w:rsidP="007A5850">
      <w:pPr>
        <w:pStyle w:val="TEXTONORMAL"/>
      </w:pPr>
    </w:p>
    <w:p w:rsidR="007A5850" w:rsidRPr="003E15CE" w:rsidRDefault="007A5850" w:rsidP="007A5850">
      <w:pPr>
        <w:pStyle w:val="TEXTONORMAL"/>
      </w:pPr>
      <w:r w:rsidRPr="003E15CE">
        <w:t>El Incremento en activo Fijo por el ejercicio 202</w:t>
      </w:r>
      <w:r w:rsidR="000E71DF">
        <w:t>2</w:t>
      </w:r>
      <w:r w:rsidRPr="003E15CE">
        <w:t xml:space="preserve"> de </w:t>
      </w:r>
      <w:r w:rsidR="00EC1345">
        <w:t>37</w:t>
      </w:r>
      <w:proofErr w:type="gramStart"/>
      <w:r w:rsidR="00EC1345">
        <w:t>,836,772</w:t>
      </w:r>
      <w:proofErr w:type="gramEnd"/>
      <w:r w:rsidRPr="003E15CE">
        <w:t xml:space="preserve"> derivado por la d</w:t>
      </w:r>
      <w:r w:rsidR="00EC1345">
        <w:t>onación de Recursos de Terceros y la adquisición de equipo.</w:t>
      </w:r>
    </w:p>
    <w:p w:rsidR="00B26D50" w:rsidRDefault="00B26D50" w:rsidP="007A5850">
      <w:pPr>
        <w:pStyle w:val="TEXTONORMAL"/>
        <w:ind w:left="357" w:hanging="357"/>
        <w:rPr>
          <w:b/>
          <w:sz w:val="22"/>
        </w:rPr>
      </w:pPr>
    </w:p>
    <w:p w:rsidR="00B26D50" w:rsidRDefault="00B26D50" w:rsidP="007A5850">
      <w:pPr>
        <w:pStyle w:val="TEXTONORMAL"/>
        <w:ind w:left="357" w:hanging="357"/>
        <w:rPr>
          <w:b/>
          <w:sz w:val="22"/>
        </w:rPr>
      </w:pPr>
    </w:p>
    <w:p w:rsidR="007A5850" w:rsidRPr="001B59BF" w:rsidRDefault="007A5850" w:rsidP="007A5850">
      <w:pPr>
        <w:pStyle w:val="TEXTONORMAL"/>
        <w:ind w:left="357" w:hanging="357"/>
        <w:rPr>
          <w:b/>
          <w:sz w:val="22"/>
        </w:rPr>
      </w:pPr>
      <w:r w:rsidRPr="001B59BF">
        <w:rPr>
          <w:b/>
          <w:sz w:val="22"/>
        </w:rPr>
        <w:t>II.-CONCILIACION CONTABLE - PRESUPUESTAL</w:t>
      </w:r>
    </w:p>
    <w:p w:rsidR="007A5850" w:rsidRPr="00B84979" w:rsidRDefault="007A5850" w:rsidP="007A5850">
      <w:pPr>
        <w:pStyle w:val="TEXTONORMAL"/>
        <w:numPr>
          <w:ilvl w:val="0"/>
          <w:numId w:val="18"/>
        </w:numPr>
      </w:pPr>
      <w:r w:rsidRPr="00B84979">
        <w:t>Derivado de la conciliación contable presupuestal se determinan partidas en conciliación.</w:t>
      </w:r>
    </w:p>
    <w:p w:rsidR="007A5850" w:rsidRPr="00B84979" w:rsidRDefault="007A5850" w:rsidP="007A5850">
      <w:pPr>
        <w:pStyle w:val="TEXTONORMAL"/>
        <w:numPr>
          <w:ilvl w:val="0"/>
          <w:numId w:val="42"/>
        </w:numPr>
      </w:pPr>
      <w:r w:rsidRPr="00B84979">
        <w:t xml:space="preserve">Ingresos contables no presupuestables: Integrados por cuentas por cobrar de </w:t>
      </w:r>
      <w:r w:rsidR="007431B2">
        <w:t>4</w:t>
      </w:r>
      <w:proofErr w:type="gramStart"/>
      <w:r w:rsidR="007431B2">
        <w:t>,152,421</w:t>
      </w:r>
      <w:proofErr w:type="gramEnd"/>
      <w:r w:rsidRPr="00B84979">
        <w:t xml:space="preserve"> del ejercicio 2021 cobradas en 2022.</w:t>
      </w:r>
    </w:p>
    <w:p w:rsidR="007A5850" w:rsidRDefault="007A5850" w:rsidP="007A5850">
      <w:pPr>
        <w:pStyle w:val="TEXTONORMAL"/>
        <w:numPr>
          <w:ilvl w:val="0"/>
          <w:numId w:val="42"/>
        </w:numPr>
      </w:pPr>
      <w:r w:rsidRPr="00B84979">
        <w:t>Ingresos presupuestales no contables: Integrados por las cuentas por cobrar del ejercicio 202</w:t>
      </w:r>
      <w:r w:rsidR="007431B2">
        <w:t>2</w:t>
      </w:r>
      <w:r w:rsidRPr="00B84979">
        <w:t xml:space="preserve"> por </w:t>
      </w:r>
      <w:r w:rsidR="007431B2">
        <w:t>1</w:t>
      </w:r>
      <w:proofErr w:type="gramStart"/>
      <w:r w:rsidR="007431B2">
        <w:t>,146,352</w:t>
      </w:r>
      <w:proofErr w:type="gramEnd"/>
      <w:r>
        <w:t>.</w:t>
      </w:r>
    </w:p>
    <w:p w:rsidR="007431B2" w:rsidRPr="00B84979" w:rsidRDefault="007431B2" w:rsidP="007431B2">
      <w:pPr>
        <w:pStyle w:val="TEXTONORMAL"/>
        <w:ind w:left="720"/>
      </w:pPr>
    </w:p>
    <w:p w:rsidR="007A5850" w:rsidRPr="00B84979" w:rsidRDefault="007A5850" w:rsidP="007A5850">
      <w:pPr>
        <w:pStyle w:val="TEXTONORMAL"/>
        <w:numPr>
          <w:ilvl w:val="0"/>
          <w:numId w:val="42"/>
        </w:numPr>
      </w:pPr>
      <w:r w:rsidRPr="00B84979">
        <w:t xml:space="preserve">Gastos contables no presupuestales: Integrados por la depreciación por un monto de </w:t>
      </w:r>
      <w:r w:rsidR="001D29CC">
        <w:t>55,250</w:t>
      </w:r>
      <w:r w:rsidRPr="00B84979">
        <w:t>,</w:t>
      </w:r>
      <w:r w:rsidR="001D29CC">
        <w:t>578</w:t>
      </w:r>
      <w:r w:rsidRPr="00B84979">
        <w:t xml:space="preserve"> así como </w:t>
      </w:r>
      <w:r w:rsidR="001D29CC">
        <w:t>157,478</w:t>
      </w:r>
      <w:r w:rsidRPr="00B84979">
        <w:t xml:space="preserve"> por la disminución en inventario y de </w:t>
      </w:r>
      <w:r w:rsidR="001D29CC">
        <w:t>3,382,093</w:t>
      </w:r>
      <w:r w:rsidRPr="00B84979">
        <w:t xml:space="preserve"> por la</w:t>
      </w:r>
      <w:r w:rsidR="001D29CC">
        <w:t xml:space="preserve"> provisión de cuentas por pagar.</w:t>
      </w:r>
    </w:p>
    <w:p w:rsidR="007A5850" w:rsidRPr="001B59BF" w:rsidRDefault="007A5850" w:rsidP="007A5850">
      <w:pPr>
        <w:pStyle w:val="TEXTONORMAL"/>
      </w:pPr>
    </w:p>
    <w:p w:rsidR="006E718F" w:rsidRPr="006E718F" w:rsidRDefault="006E718F" w:rsidP="006E718F">
      <w:pPr>
        <w:pStyle w:val="TEXTONORMAL"/>
        <w:rPr>
          <w:b/>
        </w:rPr>
      </w:pPr>
      <w:r w:rsidRPr="006E718F">
        <w:rPr>
          <w:b/>
        </w:rPr>
        <w:t xml:space="preserve">III.-NOTAS DE MEMORIA (CUENTAS DE ORDEN) </w:t>
      </w:r>
    </w:p>
    <w:p w:rsidR="006E718F" w:rsidRPr="006E718F" w:rsidRDefault="006E718F" w:rsidP="006E718F">
      <w:pPr>
        <w:pStyle w:val="TEXTONORMAL"/>
        <w:ind w:left="720"/>
      </w:pPr>
      <w:r w:rsidRPr="006E718F">
        <w:t>Los pasivos contingentes al cierre del 30 de septiembre de 2022 son de 132</w:t>
      </w:r>
      <w:proofErr w:type="gramStart"/>
      <w:r w:rsidRPr="006E718F">
        <w:t>,494,577.92</w:t>
      </w:r>
      <w:proofErr w:type="gramEnd"/>
    </w:p>
    <w:p w:rsidR="006E718F" w:rsidRPr="006E718F" w:rsidRDefault="006E718F" w:rsidP="006E718F">
      <w:pPr>
        <w:pStyle w:val="TEXTONORMAL"/>
        <w:numPr>
          <w:ilvl w:val="0"/>
          <w:numId w:val="40"/>
        </w:numPr>
      </w:pPr>
      <w:r w:rsidRPr="006E718F">
        <w:t>Juicios con pronóstico condenatorio 78,927,874.74</w:t>
      </w:r>
    </w:p>
    <w:p w:rsidR="006E718F" w:rsidRPr="006E718F" w:rsidRDefault="006E718F" w:rsidP="006E718F">
      <w:pPr>
        <w:pStyle w:val="TEXTONORMAL"/>
        <w:numPr>
          <w:ilvl w:val="0"/>
          <w:numId w:val="40"/>
        </w:numPr>
      </w:pPr>
      <w:r w:rsidRPr="006E718F">
        <w:t>Juicios con pronóstico absolutorio 53,566,703.18</w:t>
      </w:r>
    </w:p>
    <w:p w:rsidR="006E718F" w:rsidRPr="006E718F" w:rsidRDefault="006E718F" w:rsidP="006E718F">
      <w:pPr>
        <w:pStyle w:val="TEXTONORMAL"/>
        <w:ind w:left="720"/>
      </w:pPr>
    </w:p>
    <w:p w:rsidR="006E718F" w:rsidRPr="006E718F" w:rsidRDefault="006E718F" w:rsidP="006E718F">
      <w:pPr>
        <w:pStyle w:val="TEXTONORMAL"/>
        <w:ind w:left="720"/>
      </w:pPr>
      <w:proofErr w:type="gramStart"/>
      <w:r w:rsidRPr="006E718F">
        <w:t>los</w:t>
      </w:r>
      <w:proofErr w:type="gramEnd"/>
      <w:r w:rsidRPr="006E718F">
        <w:t xml:space="preserve"> pasivos contingentes al 30 de septiembre de 2022 del Instituto Nacional de Medicina Genómica (INMEGEN), son los siguientes.</w:t>
      </w:r>
    </w:p>
    <w:p w:rsidR="006E718F" w:rsidRPr="006E718F" w:rsidRDefault="006E718F" w:rsidP="006E718F">
      <w:pPr>
        <w:pStyle w:val="TEXTONORMAL"/>
        <w:numPr>
          <w:ilvl w:val="0"/>
          <w:numId w:val="40"/>
        </w:numPr>
      </w:pPr>
      <w:r w:rsidRPr="006E718F">
        <w:t>Juicios laborales:</w:t>
      </w:r>
    </w:p>
    <w:p w:rsidR="006E718F" w:rsidRPr="006E718F" w:rsidRDefault="006E718F" w:rsidP="006E718F">
      <w:pPr>
        <w:pStyle w:val="TEXTONORMAL"/>
        <w:numPr>
          <w:ilvl w:val="0"/>
          <w:numId w:val="40"/>
        </w:numPr>
      </w:pPr>
      <w:r w:rsidRPr="006E718F">
        <w:t>En trámite</w:t>
      </w:r>
    </w:p>
    <w:p w:rsidR="006E718F" w:rsidRPr="006E718F" w:rsidRDefault="006E718F" w:rsidP="006E718F">
      <w:pPr>
        <w:pStyle w:val="TEXTONORMAL"/>
        <w:numPr>
          <w:ilvl w:val="0"/>
          <w:numId w:val="41"/>
        </w:numPr>
      </w:pPr>
      <w:r w:rsidRPr="006E718F">
        <w:t>Se tienen 16 juicios laborales, cuyos pasivos contingentes dan un total de $30,955,611.31 (treinta millones novecientos cincuenta y cinco mil seiscientos once pesos 31/100 moneda nacional), los cuales se dividen de la siguiente forma:</w:t>
      </w:r>
    </w:p>
    <w:p w:rsidR="006E718F" w:rsidRPr="006E718F" w:rsidRDefault="006E718F" w:rsidP="006E718F">
      <w:pPr>
        <w:pStyle w:val="TEXTONORMAL"/>
        <w:numPr>
          <w:ilvl w:val="0"/>
          <w:numId w:val="41"/>
        </w:numPr>
      </w:pPr>
      <w:r w:rsidRPr="006E718F">
        <w:t>9 promovidos por trabajadores del INMEGEN, de los cuales cinco de ellos se prevén con resultado absolutorio cuyo monto aproximado asciende a la cantidad de $6</w:t>
      </w:r>
      <w:proofErr w:type="gramStart"/>
      <w:r w:rsidRPr="006E718F">
        <w:t>,185,042.05</w:t>
      </w:r>
      <w:proofErr w:type="gramEnd"/>
      <w:r w:rsidRPr="006E718F">
        <w:t xml:space="preserve"> (Seis millones ciento ochenta y cinco mil cuarenta y dos pesos 05/100 moneda nacional), y cuatro de ellos se prevén con resultado condenatorio cuyo monto aproximado asciende a la cantidad de $4,388,908.13 (cuatro millones trescientos ochenta y ocho mil novecientos ocho pesos 13/100 moneda nacional). </w:t>
      </w:r>
    </w:p>
    <w:p w:rsidR="006E718F" w:rsidRPr="006E718F" w:rsidRDefault="006E718F" w:rsidP="006E718F">
      <w:pPr>
        <w:pStyle w:val="TEXTONORMAL"/>
        <w:numPr>
          <w:ilvl w:val="0"/>
          <w:numId w:val="41"/>
        </w:numPr>
      </w:pPr>
      <w:r w:rsidRPr="006E718F">
        <w:t>7 promovidos por trabajadores externos, cuyo monto aproximado asciende a los $20</w:t>
      </w:r>
      <w:proofErr w:type="gramStart"/>
      <w:r w:rsidRPr="006E718F">
        <w:t>,381,661.13</w:t>
      </w:r>
      <w:proofErr w:type="gramEnd"/>
      <w:r w:rsidRPr="006E718F">
        <w:t xml:space="preserve"> (veinte millones trescientos ochenta y un mil seiscientos sesenta y un pesos 13/100 m.n.)</w:t>
      </w:r>
    </w:p>
    <w:p w:rsidR="006E718F" w:rsidRPr="006E718F" w:rsidRDefault="006E718F" w:rsidP="006E718F">
      <w:pPr>
        <w:pStyle w:val="TEXTONORMAL"/>
        <w:numPr>
          <w:ilvl w:val="0"/>
          <w:numId w:val="41"/>
        </w:numPr>
      </w:pPr>
      <w:r w:rsidRPr="006E718F">
        <w:t xml:space="preserve">En los siete juicios promovidos por trabajadores externos, se prevén resultados absolutorios.   </w:t>
      </w:r>
    </w:p>
    <w:p w:rsidR="006E718F" w:rsidRPr="006E718F" w:rsidRDefault="006E718F" w:rsidP="006E718F">
      <w:pPr>
        <w:pStyle w:val="TEXTONORMAL"/>
        <w:ind w:left="720"/>
      </w:pPr>
    </w:p>
    <w:p w:rsidR="006E718F" w:rsidRPr="006E718F" w:rsidRDefault="006E718F" w:rsidP="006E718F">
      <w:pPr>
        <w:pStyle w:val="TEXTONORMAL"/>
        <w:numPr>
          <w:ilvl w:val="0"/>
          <w:numId w:val="34"/>
        </w:numPr>
      </w:pPr>
      <w:r w:rsidRPr="006E718F">
        <w:t>Juicios ordinarios civiles:</w:t>
      </w:r>
      <w:r w:rsidRPr="006E718F">
        <w:tab/>
      </w:r>
    </w:p>
    <w:p w:rsidR="006E718F" w:rsidRPr="006E718F" w:rsidRDefault="006E718F" w:rsidP="006E718F">
      <w:pPr>
        <w:pStyle w:val="TEXTONORMAL"/>
        <w:numPr>
          <w:ilvl w:val="0"/>
          <w:numId w:val="34"/>
        </w:numPr>
      </w:pPr>
      <w:r w:rsidRPr="006E718F">
        <w:t>En trámite hay cuatro juicios civiles, tres de ellos promovidos por el INMEGEN y uno de ellos promovido por una contratista en contra del INMEGEN, siendo los siguientes:</w:t>
      </w:r>
    </w:p>
    <w:p w:rsidR="006E718F" w:rsidRPr="006E718F" w:rsidRDefault="006E718F" w:rsidP="006E718F">
      <w:pPr>
        <w:pStyle w:val="TEXTONORMAL"/>
        <w:numPr>
          <w:ilvl w:val="0"/>
          <w:numId w:val="35"/>
        </w:numPr>
      </w:pPr>
      <w:r w:rsidRPr="006E718F">
        <w:t>El INMEGEN demandó el pago de $389,393,885.60 (trescientos ochenta y nueve millones trescientos noventa y tres mil ochocientos ochenta y cinco pesos 60/100 m.n.), por concepto de daños y perjuicios, juicio que fue promovido con deficiencias técnicas, razón por lo que este reclamo no prosperó y se absolvió a la empresa demandada Den GP SA de CV., condenado al instituto al pago de costas a favor de la apoderada de la empresa en cita. En diciembre de 2021, se realizó el pago de la cantidad de 23</w:t>
      </w:r>
      <w:proofErr w:type="gramStart"/>
      <w:r w:rsidRPr="006E718F">
        <w:t>,363,633.13</w:t>
      </w:r>
      <w:proofErr w:type="gramEnd"/>
      <w:r w:rsidRPr="006E718F">
        <w:t xml:space="preserve"> (veintitrés millones trescientos sesenta y tres mil seiscientos treinta y tres pesos 13/100 m.n.), por este concepto.</w:t>
      </w:r>
    </w:p>
    <w:p w:rsidR="006E718F" w:rsidRPr="006E718F" w:rsidRDefault="006E718F" w:rsidP="006E718F">
      <w:pPr>
        <w:pStyle w:val="TEXTONORMAL"/>
        <w:numPr>
          <w:ilvl w:val="0"/>
          <w:numId w:val="35"/>
        </w:numPr>
      </w:pPr>
      <w:r w:rsidRPr="006E718F">
        <w:t xml:space="preserve">El INMEGEN demandó la reclamación forzosa del saldo a favor de un finiquito unilateral derivado de un contrato de obra pública celebrado con la empresa Construcciones e Instalaciones Modernas, SA. de CV., por un monto de $231,028,839.30 (doscientos treinta y un millones veintiocho mil ochocientos treinta y nueve pesos 30/100 m.n.), el cual representa un pasivo contingente en caso de que este juicio no prospere, ante esto existe la posibilidad de que condenen al instituto por gastos y costas, al pago aproximado del 10% de dicho monto. El monto de la contingencia condenatoria asciende aproximadamente a la cantidad de $25,000,000.00 (veinticinco millones de pesos 00/100 m.n.), por concepto de costas generadas en juicio </w:t>
      </w:r>
    </w:p>
    <w:p w:rsidR="006E718F" w:rsidRPr="006E718F" w:rsidRDefault="006E718F" w:rsidP="006E718F">
      <w:pPr>
        <w:pStyle w:val="TEXTONORMAL"/>
        <w:numPr>
          <w:ilvl w:val="0"/>
          <w:numId w:val="35"/>
        </w:numPr>
      </w:pPr>
      <w:r w:rsidRPr="006E718F">
        <w:lastRenderedPageBreak/>
        <w:t xml:space="preserve">El INMEGEN demandó a afianzadora </w:t>
      </w:r>
      <w:proofErr w:type="spellStart"/>
      <w:r w:rsidRPr="006E718F">
        <w:t>Aserta</w:t>
      </w:r>
      <w:proofErr w:type="spellEnd"/>
      <w:r w:rsidRPr="006E718F">
        <w:t>, SA de CV., por $20</w:t>
      </w:r>
      <w:proofErr w:type="gramStart"/>
      <w:r w:rsidRPr="006E718F">
        <w:t>,664,768.75</w:t>
      </w:r>
      <w:proofErr w:type="gramEnd"/>
      <w:r w:rsidRPr="006E718F">
        <w:t xml:space="preserve"> (veinte millones seiscientos sesenta y cuatro mil setecientos sesenta y ocho pesos 75/100 moneda nacional), por incumplimiento de contrato de obra por parte del fiado. A la fecha que se reporta el juicio se encuentra en trámite en espera del dictado de la sentencia.  El monto de la contingencia condenatoria asciende aproximadamente a la cantidad de $2,000,000.00 (dos millones de pesos 00/100 m.n.)., por concepto de costas generadas en juicio </w:t>
      </w:r>
    </w:p>
    <w:p w:rsidR="006E718F" w:rsidRPr="006E718F" w:rsidRDefault="006E718F" w:rsidP="006E718F">
      <w:pPr>
        <w:pStyle w:val="TEXTONORMAL"/>
        <w:numPr>
          <w:ilvl w:val="0"/>
          <w:numId w:val="35"/>
        </w:numPr>
      </w:pPr>
      <w:r w:rsidRPr="006E718F">
        <w:t>Se demanda al INMEGEN el pago de tres estimaciones derivadas de un contrato de obra pública celebrado con la empresa Construcciones e Instalaciones Modernas SA. de CV, por la cantidad de $15</w:t>
      </w:r>
      <w:proofErr w:type="gramStart"/>
      <w:r w:rsidRPr="006E718F">
        <w:t>,060,516.00</w:t>
      </w:r>
      <w:proofErr w:type="gramEnd"/>
      <w:r w:rsidRPr="006E718F">
        <w:t xml:space="preserve"> (quince millones sesenta mil quinientos dieciséis pesos 00/100 m.n.), monto que incluía las tres estimaciones y los gastos financieros de las mismas. En sentencia de 27 de junio de 2017, la cual a la fecha se encuentra firme, se condenó a pagar las tres estimaciones por un monto de $8</w:t>
      </w:r>
      <w:proofErr w:type="gramStart"/>
      <w:r w:rsidRPr="006E718F">
        <w:t>,171,162.07</w:t>
      </w:r>
      <w:proofErr w:type="gramEnd"/>
      <w:r w:rsidRPr="006E718F">
        <w:t>, quedando pendiente el monto relativo a gastos financieros, los cuales ascienden a la cantidad de $6,776,345.03 (seis millones setecientos setenta y seis mil trescientos cuarenta y cinco pesos 03/100 m.n.), mismo que fue pagado el 12 de septiembre de 2022.</w:t>
      </w:r>
    </w:p>
    <w:p w:rsidR="006E718F" w:rsidRPr="006E718F" w:rsidRDefault="006E718F" w:rsidP="006E718F">
      <w:pPr>
        <w:pStyle w:val="TEXTONORMAL"/>
        <w:ind w:left="720"/>
      </w:pPr>
    </w:p>
    <w:p w:rsidR="006E718F" w:rsidRPr="006E718F" w:rsidRDefault="006E718F" w:rsidP="006E718F">
      <w:pPr>
        <w:pStyle w:val="TEXTONORMAL"/>
        <w:numPr>
          <w:ilvl w:val="0"/>
          <w:numId w:val="36"/>
        </w:numPr>
      </w:pPr>
      <w:r w:rsidRPr="006E718F">
        <w:t>juicios contenciosos administrativos en contra del INMEGEN</w:t>
      </w:r>
    </w:p>
    <w:p w:rsidR="006E718F" w:rsidRPr="006E718F" w:rsidRDefault="006E718F" w:rsidP="006E718F">
      <w:pPr>
        <w:pStyle w:val="TEXTONORMAL"/>
        <w:numPr>
          <w:ilvl w:val="0"/>
          <w:numId w:val="36"/>
        </w:numPr>
      </w:pPr>
      <w:r w:rsidRPr="006E718F">
        <w:t xml:space="preserve">En trámite </w:t>
      </w:r>
    </w:p>
    <w:p w:rsidR="006E718F" w:rsidRPr="006E718F" w:rsidRDefault="006E718F" w:rsidP="006E718F">
      <w:pPr>
        <w:pStyle w:val="TEXTONORMAL"/>
        <w:numPr>
          <w:ilvl w:val="0"/>
          <w:numId w:val="37"/>
        </w:numPr>
      </w:pPr>
      <w:proofErr w:type="spellStart"/>
      <w:r w:rsidRPr="006E718F">
        <w:t>Fonatur</w:t>
      </w:r>
      <w:proofErr w:type="spellEnd"/>
      <w:r w:rsidRPr="006E718F">
        <w:t xml:space="preserve"> Constructora, SA de CV. demando al INMEGEN el incumplimiento de contrato por un monto de $32,477,036.38 (treinta y dos millones cuatrocientos setenta y siete mil treinta y seis pesos 38/100 moneda nacional), gastos financieros entres otras prestaciones, por lo que el juicio tiene una contingencia aproximada de $60,927,126.46 (sesenta millones novecientos veintisiete mil ciento veintiséis pesos 46/100 m.n.), este juicio concluyó condenando al pago de $31,679,969.04 más gastos financieros e IVA, los cuales se calcularan en la etapa de ejecución de sentencia.</w:t>
      </w:r>
    </w:p>
    <w:p w:rsidR="006E718F" w:rsidRPr="006E718F" w:rsidRDefault="006E718F" w:rsidP="006E718F">
      <w:pPr>
        <w:pStyle w:val="TEXTONORMAL"/>
        <w:ind w:left="720"/>
      </w:pPr>
    </w:p>
    <w:p w:rsidR="006E718F" w:rsidRPr="006E718F" w:rsidRDefault="006E718F" w:rsidP="006E718F">
      <w:pPr>
        <w:pStyle w:val="TEXTONORMAL"/>
        <w:numPr>
          <w:ilvl w:val="0"/>
          <w:numId w:val="37"/>
        </w:numPr>
      </w:pPr>
      <w:proofErr w:type="spellStart"/>
      <w:r w:rsidRPr="006E718F">
        <w:t>Iberoascensores</w:t>
      </w:r>
      <w:proofErr w:type="spellEnd"/>
      <w:r w:rsidRPr="006E718F">
        <w:t>, SA de CV demandó al INMEGEN la nulidad de la resolución de rescisión del contrato de adquisición de bienes expedida por el instituto. Por sentencia de 29 de febrero de 2012, la que a la fecha se encuentra firme, declaró la nulidad de la rescisión contractual. Se está en etapa de ejecución de sentencia quedando pendiente la ejecución de trabajos por parte de la contratista, así como el pago del 20% faltante de la totalidad del contrato.</w:t>
      </w:r>
    </w:p>
    <w:p w:rsidR="006E718F" w:rsidRPr="006E718F" w:rsidRDefault="006E718F" w:rsidP="006E718F">
      <w:pPr>
        <w:pStyle w:val="TEXTONORMAL"/>
        <w:ind w:left="720"/>
      </w:pPr>
    </w:p>
    <w:p w:rsidR="006E718F" w:rsidRPr="006E718F" w:rsidRDefault="006E718F" w:rsidP="006E718F">
      <w:pPr>
        <w:pStyle w:val="TEXTONORMAL"/>
        <w:numPr>
          <w:ilvl w:val="0"/>
          <w:numId w:val="37"/>
        </w:numPr>
      </w:pPr>
      <w:r w:rsidRPr="006E718F">
        <w:t xml:space="preserve">Den </w:t>
      </w:r>
      <w:proofErr w:type="spellStart"/>
      <w:r w:rsidRPr="006E718F">
        <w:t>gp</w:t>
      </w:r>
      <w:proofErr w:type="spellEnd"/>
      <w:r w:rsidRPr="006E718F">
        <w:t xml:space="preserve">, </w:t>
      </w:r>
      <w:proofErr w:type="spellStart"/>
      <w:r w:rsidRPr="006E718F">
        <w:t>sa</w:t>
      </w:r>
      <w:proofErr w:type="spellEnd"/>
      <w:r w:rsidRPr="006E718F">
        <w:t xml:space="preserve"> de cv demandó al </w:t>
      </w:r>
      <w:proofErr w:type="spellStart"/>
      <w:r w:rsidRPr="006E718F">
        <w:t>inmegen</w:t>
      </w:r>
      <w:proofErr w:type="spellEnd"/>
      <w:r w:rsidRPr="006E718F">
        <w:t xml:space="preserve"> la nulidad de la resolución de negativa ficta de un escrito de fecha 24 de junio de 2019, en que la empresa en cita pretende el pago de finiquito y gastos financieros por un monto de $13</w:t>
      </w:r>
      <w:proofErr w:type="gramStart"/>
      <w:r w:rsidRPr="006E718F">
        <w:t>,611,840.15</w:t>
      </w:r>
      <w:proofErr w:type="gramEnd"/>
      <w:r w:rsidRPr="006E718F">
        <w:t xml:space="preserve"> (trece millones seiscientos once mil ochocientos cuarenta pesos 15/100 moneda nacional. el juicio se encuentra en trámite.</w:t>
      </w:r>
    </w:p>
    <w:p w:rsidR="006E718F" w:rsidRPr="006E718F" w:rsidRDefault="006E718F" w:rsidP="006E718F">
      <w:pPr>
        <w:pStyle w:val="TEXTONORMAL"/>
        <w:ind w:left="720"/>
      </w:pPr>
    </w:p>
    <w:p w:rsidR="006E718F" w:rsidRPr="006E718F" w:rsidRDefault="006E718F" w:rsidP="006E718F">
      <w:pPr>
        <w:pStyle w:val="TEXTONORMAL"/>
        <w:numPr>
          <w:ilvl w:val="0"/>
          <w:numId w:val="38"/>
        </w:numPr>
      </w:pPr>
      <w:r w:rsidRPr="006E718F">
        <w:t>Dos amparos indirectos en materia administrativa promovidos en contra del instituto:</w:t>
      </w:r>
    </w:p>
    <w:p w:rsidR="006E718F" w:rsidRPr="006E718F" w:rsidRDefault="006E718F" w:rsidP="006E718F">
      <w:pPr>
        <w:pStyle w:val="TEXTONORMAL"/>
        <w:numPr>
          <w:ilvl w:val="0"/>
          <w:numId w:val="46"/>
        </w:numPr>
      </w:pPr>
      <w:r w:rsidRPr="006E718F">
        <w:t>Amparo indirecto promovido por una persona física en el que señala como acto reclamado una resolución dictada por el Instituto Nacional De Transparencia, Acceso A La Información Y Protección De Datos Personales (INAI), que obliga al instituto a entregar contratos a un peticionario de información, se otorgó el amparo, sin embargo, el INAI promovió recurso de revisión</w:t>
      </w:r>
    </w:p>
    <w:p w:rsidR="006E718F" w:rsidRPr="006E718F" w:rsidRDefault="006E718F" w:rsidP="006E718F">
      <w:pPr>
        <w:pStyle w:val="TEXTONORMAL"/>
        <w:numPr>
          <w:ilvl w:val="0"/>
          <w:numId w:val="46"/>
        </w:numPr>
      </w:pPr>
      <w:r w:rsidRPr="006E718F">
        <w:t>Amparo indirecto promovido por una persona física en el que señala como acto reclamado una resolución dictada por el Instituto Nacional De Transparencia, Acceso A La Información Y Protección De Datos Personales (INAI), que obliga al instituto a entregar contratos a un peticionario de información, se encuentra en trámite.</w:t>
      </w:r>
    </w:p>
    <w:p w:rsidR="006E718F" w:rsidRPr="006E718F" w:rsidRDefault="006E718F" w:rsidP="006E718F">
      <w:pPr>
        <w:pStyle w:val="TEXTONORMAL"/>
        <w:ind w:left="720"/>
      </w:pPr>
    </w:p>
    <w:p w:rsidR="006E718F" w:rsidRPr="006E718F" w:rsidRDefault="006E718F" w:rsidP="006E718F">
      <w:pPr>
        <w:pStyle w:val="TEXTONORMAL"/>
        <w:numPr>
          <w:ilvl w:val="0"/>
          <w:numId w:val="38"/>
        </w:numPr>
      </w:pPr>
      <w:r w:rsidRPr="006E718F">
        <w:lastRenderedPageBreak/>
        <w:t>Un amparo indirectos en materia laboral promovido en contra del instituto:</w:t>
      </w:r>
    </w:p>
    <w:p w:rsidR="006E718F" w:rsidRPr="006E718F" w:rsidRDefault="006E718F" w:rsidP="006E718F">
      <w:pPr>
        <w:pStyle w:val="TEXTONORMAL"/>
        <w:numPr>
          <w:ilvl w:val="0"/>
          <w:numId w:val="47"/>
        </w:numPr>
      </w:pPr>
      <w:r w:rsidRPr="006E718F">
        <w:t>Amparo indirecto promovido por una empresa que señala como acto reclamado, la entrega de documentación relativa al cumplimento de obligaciones de seguridad social, al amparo de un contrato de prestación de servicios al instituto, se encuentra en trámite.</w:t>
      </w:r>
    </w:p>
    <w:p w:rsidR="006E718F" w:rsidRPr="006E718F" w:rsidRDefault="006E718F" w:rsidP="006E718F">
      <w:pPr>
        <w:pStyle w:val="TEXTONORMAL"/>
        <w:ind w:left="720"/>
      </w:pPr>
    </w:p>
    <w:p w:rsidR="006E718F" w:rsidRPr="006E718F" w:rsidRDefault="006E718F" w:rsidP="006E718F">
      <w:pPr>
        <w:pStyle w:val="TEXTONORMAL"/>
        <w:numPr>
          <w:ilvl w:val="0"/>
          <w:numId w:val="38"/>
        </w:numPr>
      </w:pPr>
      <w:r w:rsidRPr="006E718F">
        <w:t>un amparo indirecto en materia civil promovido en contra del instituto:</w:t>
      </w:r>
    </w:p>
    <w:p w:rsidR="006E718F" w:rsidRPr="006E718F" w:rsidRDefault="006E718F" w:rsidP="006E718F">
      <w:pPr>
        <w:pStyle w:val="TEXTONORMAL"/>
        <w:numPr>
          <w:ilvl w:val="0"/>
          <w:numId w:val="47"/>
        </w:numPr>
        <w:tabs>
          <w:tab w:val="left" w:pos="142"/>
        </w:tabs>
      </w:pPr>
      <w:r w:rsidRPr="006E718F">
        <w:t>Amparo indirecto promovido por una empresa en el que señala como acto reclamado el reconocimiento y efectos jurídicos de una cesión de derechos de cobro de costas generadas en juicio, dichas costas se refieren a un juicio en el cual se condenó al instituto al pago de éstas, el juicio de encuentra en trámite.</w:t>
      </w:r>
    </w:p>
    <w:p w:rsidR="007A5850" w:rsidRPr="001B59BF" w:rsidRDefault="007A5850" w:rsidP="007A5850">
      <w:pPr>
        <w:pStyle w:val="TEXTONORMAL"/>
        <w:ind w:left="720"/>
        <w:rPr>
          <w:lang w:val="es-MX"/>
        </w:rPr>
      </w:pPr>
    </w:p>
    <w:p w:rsidR="007A5850" w:rsidRPr="001B59BF" w:rsidRDefault="007A5850" w:rsidP="007A5850">
      <w:pPr>
        <w:pStyle w:val="TEXTONORMAL"/>
        <w:ind w:left="357" w:hanging="357"/>
        <w:rPr>
          <w:b/>
          <w:sz w:val="22"/>
        </w:rPr>
      </w:pPr>
      <w:r w:rsidRPr="001B59BF">
        <w:rPr>
          <w:b/>
          <w:sz w:val="22"/>
        </w:rPr>
        <w:t>VII.-NOTAS DE GESTION ADMINISTRATIVA</w:t>
      </w:r>
    </w:p>
    <w:p w:rsidR="007A5850" w:rsidRPr="003E15CE" w:rsidRDefault="007A5850" w:rsidP="007A5850">
      <w:pPr>
        <w:pStyle w:val="TEXTONORMAL"/>
        <w:ind w:left="720"/>
      </w:pPr>
      <w:r w:rsidRPr="003E15CE">
        <w:t>1. Introducción</w:t>
      </w:r>
    </w:p>
    <w:p w:rsidR="007A5850" w:rsidRDefault="007A5850" w:rsidP="007A5850">
      <w:pPr>
        <w:pStyle w:val="TEXTONORMAL"/>
      </w:pPr>
      <w:r w:rsidRPr="003E15CE">
        <w:t>El Instituto Nacional de Medicina Genómica (INMEGEN), perteneciente a la Secretaría de Salud, fue creado para contribuir al cuidado de la salud de los mexicanos desarrollando investigación científica de excelencia y formando recursos humanos de alto nivel, que conduzcan a la aplicación médica del conocimiento genómico</w:t>
      </w:r>
      <w:r w:rsidR="00B26D50">
        <w:t>.</w:t>
      </w:r>
    </w:p>
    <w:p w:rsidR="00B26D50" w:rsidRPr="003E15CE" w:rsidRDefault="00B26D50" w:rsidP="007A5850">
      <w:pPr>
        <w:pStyle w:val="TEXTONORMAL"/>
      </w:pPr>
    </w:p>
    <w:p w:rsidR="007A5850" w:rsidRPr="003E15CE" w:rsidRDefault="007A5850" w:rsidP="007A5850">
      <w:pPr>
        <w:pStyle w:val="TEXTONORMAL"/>
        <w:ind w:left="360" w:firstLine="349"/>
      </w:pPr>
      <w:r w:rsidRPr="003E15CE">
        <w:t>2. Panorama Económico y Financiero</w:t>
      </w:r>
    </w:p>
    <w:p w:rsidR="007A5850" w:rsidRPr="003E15CE" w:rsidRDefault="007A5850" w:rsidP="007A5850">
      <w:pPr>
        <w:pStyle w:val="TEXTONORMAL"/>
      </w:pPr>
      <w:r w:rsidRPr="003E15CE">
        <w:t>En el ejercicio el Instituto se desarrolló bajo un panorama económico limitado ya que se tuvo una disminución del presupuesto original y la diferencia en el tipo de cambio de la moneda afecto de igual manera al presupuesto.</w:t>
      </w:r>
    </w:p>
    <w:p w:rsidR="007A5850" w:rsidRPr="003E15CE" w:rsidRDefault="007A5850" w:rsidP="007A5850">
      <w:pPr>
        <w:pStyle w:val="TEXTONORMAL"/>
        <w:ind w:firstLine="709"/>
      </w:pPr>
      <w:r w:rsidRPr="003E15CE">
        <w:t>3. Autorización e Historia</w:t>
      </w:r>
    </w:p>
    <w:p w:rsidR="007A5850" w:rsidRPr="003E15CE" w:rsidRDefault="007A5850" w:rsidP="007A5850">
      <w:pPr>
        <w:pStyle w:val="TEXTONORMAL"/>
      </w:pPr>
      <w:r w:rsidRPr="003E15CE">
        <w:t xml:space="preserve"> El Instituto Nacional de Medicina Genómica (INMEGEN), se creó como un Organismo Descentralizado mediante decreto presidencial publicado en el Diario Oficial de la Federación (DOF) el 20 de julio del 2004, que reforma a la Ley de los Institutos Nacionales de Salud. El Instituto forma parte del Subsector de dichos institutos, pertenecientes a la Secretaría de Salud, con fundamento en la fracción V bis del Artículo 5 y Artículo 7 bis del Capítulo I, Título Segundo de la Ley de los Institutos Nacionales de Salud.</w:t>
      </w:r>
    </w:p>
    <w:p w:rsidR="007A5850" w:rsidRPr="003E15CE" w:rsidRDefault="007A5850" w:rsidP="007A5850">
      <w:pPr>
        <w:pStyle w:val="TEXTONORMAL"/>
        <w:ind w:left="720"/>
      </w:pPr>
      <w:r w:rsidRPr="003E15CE">
        <w:t>4. Organización y Objeto Social</w:t>
      </w:r>
    </w:p>
    <w:p w:rsidR="007A5850" w:rsidRPr="003E15CE" w:rsidRDefault="007A5850" w:rsidP="007A5850">
      <w:pPr>
        <w:pStyle w:val="TEXTONORMAL"/>
        <w:numPr>
          <w:ilvl w:val="0"/>
          <w:numId w:val="15"/>
        </w:numPr>
      </w:pPr>
      <w:r w:rsidRPr="003E15CE">
        <w:t>El objeto del INMEGEN, es contribuir al cuidado de la salud de los mexicanos desarrollando investigación científica de excelencia y formando recursos humanos de alto nivel, que conduzcan a la aplicación médica del conocimiento genómico a través de una cultura innovadora, tecnología de vanguardia y de alianzas estratégicas, con apego a los principios éticos universales.</w:t>
      </w:r>
    </w:p>
    <w:p w:rsidR="007A5850" w:rsidRPr="003E15CE" w:rsidRDefault="007A5850" w:rsidP="007A5850">
      <w:pPr>
        <w:pStyle w:val="TEXTONORMAL"/>
        <w:numPr>
          <w:ilvl w:val="0"/>
          <w:numId w:val="20"/>
        </w:numPr>
      </w:pPr>
      <w:r w:rsidRPr="003E15CE">
        <w:t>Dentro de sus objetivos están los siguientes:</w:t>
      </w:r>
    </w:p>
    <w:p w:rsidR="007A5850" w:rsidRPr="003E15CE" w:rsidRDefault="007A5850" w:rsidP="007A5850">
      <w:pPr>
        <w:pStyle w:val="TEXTONORMAL"/>
        <w:numPr>
          <w:ilvl w:val="0"/>
          <w:numId w:val="20"/>
        </w:numPr>
      </w:pPr>
      <w:r w:rsidRPr="003E15CE">
        <w:t>Posicionar al Instituto, como un motor de desarrollo de la medicina genómica en México.</w:t>
      </w:r>
    </w:p>
    <w:p w:rsidR="007A5850" w:rsidRPr="003E15CE" w:rsidRDefault="007A5850" w:rsidP="007A5850">
      <w:pPr>
        <w:pStyle w:val="TEXTONORMAL"/>
        <w:numPr>
          <w:ilvl w:val="0"/>
          <w:numId w:val="20"/>
        </w:numPr>
      </w:pPr>
      <w:r w:rsidRPr="003E15CE">
        <w:t>Operar el Instituto como un sistema organizacional novedoso, dinámico y eficiente, con desarrollo pleno de sus ventajas competitivas, fincado esto en principios sólidos de calidad y excelencia, bajo un compromiso y responsabilidad social.</w:t>
      </w:r>
    </w:p>
    <w:p w:rsidR="007A5850" w:rsidRPr="003E15CE" w:rsidRDefault="007A5850" w:rsidP="007A5850">
      <w:pPr>
        <w:pStyle w:val="TEXTONORMAL"/>
        <w:numPr>
          <w:ilvl w:val="0"/>
          <w:numId w:val="20"/>
        </w:numPr>
      </w:pPr>
      <w:r w:rsidRPr="003E15CE">
        <w:t>Potencializar una medicina genómica que contribuya a una práctica médica más individualizada, más predictiva y preventiva.</w:t>
      </w:r>
    </w:p>
    <w:p w:rsidR="007A5850" w:rsidRPr="003E15CE" w:rsidRDefault="007A5850" w:rsidP="007A5850">
      <w:pPr>
        <w:pStyle w:val="TEXTONORMAL"/>
        <w:numPr>
          <w:ilvl w:val="0"/>
          <w:numId w:val="20"/>
        </w:numPr>
      </w:pPr>
      <w:r w:rsidRPr="003E15CE">
        <w:lastRenderedPageBreak/>
        <w:t>Impulsar el desarrollo científico y tecnológico, relacionado con la medicina genómica en México.</w:t>
      </w:r>
    </w:p>
    <w:p w:rsidR="007A5850" w:rsidRPr="003E15CE" w:rsidRDefault="007A5850" w:rsidP="007A5850">
      <w:pPr>
        <w:pStyle w:val="TEXTONORMAL"/>
        <w:numPr>
          <w:ilvl w:val="0"/>
          <w:numId w:val="20"/>
        </w:numPr>
      </w:pPr>
      <w:r w:rsidRPr="003E15CE">
        <w:t xml:space="preserve">Desarrollar nuevas oportunidades de tratamiento como la </w:t>
      </w:r>
      <w:proofErr w:type="spellStart"/>
      <w:r w:rsidRPr="003E15CE">
        <w:t>farmacogenómica</w:t>
      </w:r>
      <w:proofErr w:type="spellEnd"/>
      <w:r w:rsidRPr="003E15CE">
        <w:t>.</w:t>
      </w:r>
    </w:p>
    <w:p w:rsidR="007A5850" w:rsidRPr="003E15CE" w:rsidRDefault="007A5850" w:rsidP="007A5850">
      <w:pPr>
        <w:pStyle w:val="TEXTONORMAL"/>
        <w:numPr>
          <w:ilvl w:val="0"/>
          <w:numId w:val="20"/>
        </w:numPr>
      </w:pPr>
      <w:r w:rsidRPr="003E15CE">
        <w:t>Provocar ahorros significativos en la atención a la salud, mediante la aplicación de resultados de las investigaciones científicas del Instituto.</w:t>
      </w:r>
    </w:p>
    <w:p w:rsidR="007A5850" w:rsidRPr="003E15CE" w:rsidRDefault="007A5850" w:rsidP="007A5850">
      <w:pPr>
        <w:pStyle w:val="TEXTONORMAL"/>
        <w:numPr>
          <w:ilvl w:val="0"/>
          <w:numId w:val="21"/>
        </w:numPr>
      </w:pPr>
      <w:r w:rsidRPr="003E15CE">
        <w:t>Impulsar la producción de nuevos bienes y servicios relacionados con el cuidado de la salud de la población mexicana.</w:t>
      </w:r>
    </w:p>
    <w:p w:rsidR="007A5850" w:rsidRPr="003E15CE" w:rsidRDefault="007A5850" w:rsidP="007A5850">
      <w:pPr>
        <w:pStyle w:val="TEXTONORMAL"/>
        <w:numPr>
          <w:ilvl w:val="0"/>
          <w:numId w:val="21"/>
        </w:numPr>
      </w:pPr>
      <w:r w:rsidRPr="003E15CE">
        <w:t>Ofrecer las bases para una práctica médica basada en la estructura Genómica de las poblaciones mexicanas y sus necesidades epidemiológicas, etc.</w:t>
      </w:r>
    </w:p>
    <w:p w:rsidR="007A5850" w:rsidRPr="003E15CE" w:rsidRDefault="007A5850" w:rsidP="007A5850">
      <w:pPr>
        <w:pStyle w:val="TEXTONORMAL"/>
        <w:numPr>
          <w:ilvl w:val="0"/>
          <w:numId w:val="15"/>
        </w:numPr>
      </w:pPr>
      <w:r w:rsidRPr="003E15CE">
        <w:t>Principales Actividades</w:t>
      </w:r>
    </w:p>
    <w:p w:rsidR="007A5850" w:rsidRPr="003E15CE" w:rsidRDefault="007A5850" w:rsidP="007A5850">
      <w:pPr>
        <w:pStyle w:val="TEXTONORMAL"/>
        <w:numPr>
          <w:ilvl w:val="0"/>
          <w:numId w:val="22"/>
        </w:numPr>
      </w:pPr>
      <w:r w:rsidRPr="003E15CE">
        <w:t xml:space="preserve">Las actividades sustantivas del Instituto Nacional de Medicina Genómica se vinculan para dar cumplimiento al objetivo general del PND de “Llevar a México a su máximo potencial”, contribuyendo en el ámbito de sus atribuciones, en el logro de las metas nacionales de un “México Incluyente” a través de la generación productos y servicios de base genómica para favorecer una medicina más preventiva, participativa y personalizada. Además, se continuará realizando investigación genómica relacionada con las principales enfermedades de nuestra sociedad, en la generación y transferencia del conocimiento y en la formación y de recursos humanos altamente especializados para contribuir a un “México con Educación de Calidad”. Asimismo, promover el ejercicio eficiente de los recursos institucionales presupuestarios disponibles que permita con ello contribuir a un “México Próspero”. </w:t>
      </w:r>
    </w:p>
    <w:p w:rsidR="006E718F" w:rsidRDefault="006E718F" w:rsidP="006E718F">
      <w:pPr>
        <w:pStyle w:val="TEXTONORMAL"/>
        <w:ind w:left="720"/>
      </w:pPr>
    </w:p>
    <w:p w:rsidR="007A5850" w:rsidRPr="003E15CE" w:rsidRDefault="007A5850" w:rsidP="007A5850">
      <w:pPr>
        <w:pStyle w:val="TEXTONORMAL"/>
        <w:numPr>
          <w:ilvl w:val="0"/>
          <w:numId w:val="23"/>
        </w:numPr>
      </w:pPr>
      <w:r w:rsidRPr="003E15CE">
        <w:t>Marco Jurídico</w:t>
      </w:r>
    </w:p>
    <w:p w:rsidR="006E718F" w:rsidRDefault="007A5850" w:rsidP="006E718F">
      <w:pPr>
        <w:pStyle w:val="TEXTONORMAL"/>
        <w:numPr>
          <w:ilvl w:val="0"/>
          <w:numId w:val="19"/>
        </w:numPr>
      </w:pPr>
      <w:r w:rsidRPr="003E15CE">
        <w:t>Constitución:</w:t>
      </w:r>
    </w:p>
    <w:p w:rsidR="007A5850" w:rsidRDefault="007A5850" w:rsidP="006E718F">
      <w:pPr>
        <w:pStyle w:val="TEXTONORMAL"/>
        <w:numPr>
          <w:ilvl w:val="0"/>
          <w:numId w:val="22"/>
        </w:numPr>
        <w:ind w:left="709" w:hanging="283"/>
      </w:pPr>
      <w:r w:rsidRPr="003E15CE">
        <w:t xml:space="preserve">Constitución Política de los Estados Unidos Mexicanos. </w:t>
      </w:r>
    </w:p>
    <w:p w:rsidR="006E718F" w:rsidRPr="003E15CE" w:rsidRDefault="006E718F" w:rsidP="006E718F">
      <w:pPr>
        <w:pStyle w:val="TEXTONORMAL"/>
        <w:numPr>
          <w:ilvl w:val="0"/>
          <w:numId w:val="22"/>
        </w:numPr>
        <w:ind w:left="709" w:hanging="283"/>
      </w:pPr>
    </w:p>
    <w:p w:rsidR="007A5850" w:rsidRPr="003E15CE" w:rsidRDefault="007A5850" w:rsidP="007A5850">
      <w:pPr>
        <w:pStyle w:val="TEXTONORMAL"/>
        <w:numPr>
          <w:ilvl w:val="0"/>
          <w:numId w:val="24"/>
        </w:numPr>
      </w:pPr>
      <w:r w:rsidRPr="003E15CE">
        <w:t>Leyes:</w:t>
      </w:r>
    </w:p>
    <w:p w:rsidR="007A5850" w:rsidRPr="003E15CE" w:rsidRDefault="007A5850" w:rsidP="007A5850">
      <w:pPr>
        <w:pStyle w:val="TEXTONORMAL"/>
        <w:numPr>
          <w:ilvl w:val="0"/>
          <w:numId w:val="25"/>
        </w:numPr>
      </w:pPr>
      <w:r w:rsidRPr="003E15CE">
        <w:t xml:space="preserve">Ley de Adquisiciones, Arrendamientos y Servicios del Sector Público. DOF 04-01-2000 y sus reformas. </w:t>
      </w:r>
    </w:p>
    <w:p w:rsidR="007A5850" w:rsidRPr="003E15CE" w:rsidRDefault="007A5850" w:rsidP="007A5850">
      <w:pPr>
        <w:pStyle w:val="TEXTONORMAL"/>
        <w:numPr>
          <w:ilvl w:val="0"/>
          <w:numId w:val="25"/>
        </w:numPr>
      </w:pPr>
      <w:r w:rsidRPr="003E15CE">
        <w:t>Ley de Fiscalización y Rendición de Cuentas de la Federación. DOF 29-05-2009 y sus reformas.</w:t>
      </w:r>
    </w:p>
    <w:p w:rsidR="007A5850" w:rsidRPr="003E15CE" w:rsidRDefault="007A5850" w:rsidP="007A5850">
      <w:pPr>
        <w:pStyle w:val="TEXTONORMAL"/>
        <w:numPr>
          <w:ilvl w:val="0"/>
          <w:numId w:val="25"/>
        </w:numPr>
      </w:pPr>
      <w:r w:rsidRPr="003E15CE">
        <w:t xml:space="preserve">Ley de Ingresos de la Federación para el Ejercicio Fiscal 2018. DOF 17-11-2017. </w:t>
      </w:r>
    </w:p>
    <w:p w:rsidR="007A5850" w:rsidRPr="003E15CE" w:rsidRDefault="007A5850" w:rsidP="007A5850">
      <w:pPr>
        <w:pStyle w:val="TEXTONORMAL"/>
        <w:numPr>
          <w:ilvl w:val="0"/>
          <w:numId w:val="25"/>
        </w:numPr>
      </w:pPr>
      <w:r w:rsidRPr="003E15CE">
        <w:t xml:space="preserve">Ley de los Sistemas de Ahorro para el Retiro. DOF 23-05-1996 y sus reformas. </w:t>
      </w:r>
    </w:p>
    <w:p w:rsidR="007A5850" w:rsidRPr="003E15CE" w:rsidRDefault="007A5850" w:rsidP="007A5850">
      <w:pPr>
        <w:pStyle w:val="TEXTONORMAL"/>
        <w:numPr>
          <w:ilvl w:val="0"/>
          <w:numId w:val="25"/>
        </w:numPr>
      </w:pPr>
      <w:r w:rsidRPr="003E15CE">
        <w:t>Ley de Obras Públicas y Servicios Relacionados con las Mismas. DOF 04-01-2000 y sus reformas.</w:t>
      </w:r>
    </w:p>
    <w:p w:rsidR="007A5850" w:rsidRPr="003E15CE" w:rsidRDefault="007A5850" w:rsidP="007A5850">
      <w:pPr>
        <w:pStyle w:val="TEXTONORMAL"/>
        <w:numPr>
          <w:ilvl w:val="0"/>
          <w:numId w:val="25"/>
        </w:numPr>
      </w:pPr>
      <w:r w:rsidRPr="003E15CE">
        <w:t xml:space="preserve">Ley de Planeación. DOF 05-01-1983 y sus reformas. </w:t>
      </w:r>
    </w:p>
    <w:p w:rsidR="007A5850" w:rsidRPr="003E15CE" w:rsidRDefault="007A5850" w:rsidP="007A5850">
      <w:pPr>
        <w:pStyle w:val="TEXTONORMAL"/>
        <w:numPr>
          <w:ilvl w:val="0"/>
          <w:numId w:val="25"/>
        </w:numPr>
      </w:pPr>
      <w:r w:rsidRPr="003E15CE">
        <w:t>Ley de Premios, Estímulos y Recompensas Civiles. DOF 31-12-1975 y sus reformas.</w:t>
      </w:r>
    </w:p>
    <w:p w:rsidR="007A5850" w:rsidRPr="003E15CE" w:rsidRDefault="007A5850" w:rsidP="007A5850">
      <w:pPr>
        <w:pStyle w:val="TEXTONORMAL"/>
        <w:numPr>
          <w:ilvl w:val="0"/>
          <w:numId w:val="25"/>
        </w:numPr>
      </w:pPr>
      <w:r w:rsidRPr="003E15CE">
        <w:t>Ley del Impuesto al Valor Agregado. DOF 29-12-1978 y sus reformas.</w:t>
      </w:r>
    </w:p>
    <w:p w:rsidR="007A5850" w:rsidRPr="003E15CE" w:rsidRDefault="007A5850" w:rsidP="007A5850">
      <w:pPr>
        <w:pStyle w:val="TEXTONORMAL"/>
        <w:numPr>
          <w:ilvl w:val="0"/>
          <w:numId w:val="25"/>
        </w:numPr>
      </w:pPr>
      <w:r w:rsidRPr="003E15CE">
        <w:t xml:space="preserve">Ley del Impuesto Sobre la Renta. DOF 01-01-2002 y sus reformas. </w:t>
      </w:r>
    </w:p>
    <w:p w:rsidR="007A5850" w:rsidRPr="003E15CE" w:rsidRDefault="007A5850" w:rsidP="007A5850">
      <w:pPr>
        <w:pStyle w:val="TEXTONORMAL"/>
        <w:numPr>
          <w:ilvl w:val="0"/>
          <w:numId w:val="25"/>
        </w:numPr>
      </w:pPr>
      <w:r w:rsidRPr="003E15CE">
        <w:t>Ley del Instituto de Seguridad y Servicios Sociales de los Trabajadores del Estado. DOF 31-03-2007 y sus reformas.</w:t>
      </w:r>
    </w:p>
    <w:p w:rsidR="007A5850" w:rsidRPr="003E15CE" w:rsidRDefault="007A5850" w:rsidP="007A5850">
      <w:pPr>
        <w:pStyle w:val="TEXTONORMAL"/>
        <w:numPr>
          <w:ilvl w:val="0"/>
          <w:numId w:val="25"/>
        </w:numPr>
      </w:pPr>
      <w:r w:rsidRPr="003E15CE">
        <w:lastRenderedPageBreak/>
        <w:t xml:space="preserve">Ley Federal de Archivos. DOF 23-01-2012. </w:t>
      </w:r>
    </w:p>
    <w:p w:rsidR="007A5850" w:rsidRPr="003E15CE" w:rsidRDefault="007A5850" w:rsidP="007A5850">
      <w:pPr>
        <w:pStyle w:val="TEXTONORMAL"/>
        <w:numPr>
          <w:ilvl w:val="0"/>
          <w:numId w:val="25"/>
        </w:numPr>
      </w:pPr>
      <w:r w:rsidRPr="003E15CE">
        <w:t xml:space="preserve">Ley Federal de Derechos. DOF 31-12-1981 y sus reformas. </w:t>
      </w:r>
    </w:p>
    <w:p w:rsidR="007A5850" w:rsidRPr="003E15CE" w:rsidRDefault="007A5850" w:rsidP="007A5850">
      <w:pPr>
        <w:pStyle w:val="TEXTONORMAL"/>
        <w:numPr>
          <w:ilvl w:val="0"/>
          <w:numId w:val="25"/>
        </w:numPr>
      </w:pPr>
      <w:r w:rsidRPr="003E15CE">
        <w:t>Ley Federal de las Entidades Paraestatales. DOF 14-05-1986 y sus reformas.</w:t>
      </w:r>
    </w:p>
    <w:p w:rsidR="007A5850" w:rsidRPr="003E15CE" w:rsidRDefault="007A5850" w:rsidP="007A5850">
      <w:pPr>
        <w:pStyle w:val="TEXTONORMAL"/>
        <w:numPr>
          <w:ilvl w:val="0"/>
          <w:numId w:val="25"/>
        </w:numPr>
      </w:pPr>
      <w:r w:rsidRPr="003E15CE">
        <w:t>Ley Federal de los Trabajadores al Servicio del Estado, Reglamentaria del Apartado B) del Artículo 123 Constitucional. DOF 28-12-1963 y sus reformas.</w:t>
      </w:r>
    </w:p>
    <w:p w:rsidR="007A5850" w:rsidRPr="003E15CE" w:rsidRDefault="007A5850" w:rsidP="007A5850">
      <w:pPr>
        <w:pStyle w:val="TEXTONORMAL"/>
        <w:numPr>
          <w:ilvl w:val="0"/>
          <w:numId w:val="25"/>
        </w:numPr>
      </w:pPr>
      <w:r w:rsidRPr="003E15CE">
        <w:t>Ley Federal de Presupuesto y Responsabilidad Hacendaria. DOF 30-03-2006 y sus reformas.</w:t>
      </w:r>
    </w:p>
    <w:p w:rsidR="007A5850" w:rsidRPr="003E15CE" w:rsidRDefault="007A5850" w:rsidP="007A5850">
      <w:pPr>
        <w:pStyle w:val="TEXTONORMAL"/>
        <w:numPr>
          <w:ilvl w:val="0"/>
          <w:numId w:val="25"/>
        </w:numPr>
      </w:pPr>
      <w:r w:rsidRPr="003E15CE">
        <w:t>Ley Federal de Procedimiento Administrativo. DOF 04-08-1994 y sus reformas.</w:t>
      </w:r>
    </w:p>
    <w:p w:rsidR="007A5850" w:rsidRPr="003E15CE" w:rsidRDefault="007A5850" w:rsidP="007A5850">
      <w:pPr>
        <w:pStyle w:val="TEXTONORMAL"/>
        <w:numPr>
          <w:ilvl w:val="0"/>
          <w:numId w:val="25"/>
        </w:numPr>
      </w:pPr>
      <w:r w:rsidRPr="003E15CE">
        <w:t>Ley Federal de Responsabilidad Patrimonial del Estado. DOF 31-12-2004 y sus reformas.</w:t>
      </w:r>
    </w:p>
    <w:p w:rsidR="007A5850" w:rsidRPr="003E15CE" w:rsidRDefault="007A5850" w:rsidP="007A5850">
      <w:pPr>
        <w:pStyle w:val="TEXTONORMAL"/>
        <w:numPr>
          <w:ilvl w:val="0"/>
          <w:numId w:val="25"/>
        </w:numPr>
      </w:pPr>
      <w:r w:rsidRPr="003E15CE">
        <w:t>Ley Federal de Responsabilidades Administrativas de los Servidores Públicos. DOF 13-03-2002 y sus reformas.</w:t>
      </w:r>
    </w:p>
    <w:p w:rsidR="007A5850" w:rsidRPr="003E15CE" w:rsidRDefault="007A5850" w:rsidP="007A5850">
      <w:pPr>
        <w:pStyle w:val="TEXTONORMAL"/>
        <w:numPr>
          <w:ilvl w:val="0"/>
          <w:numId w:val="25"/>
        </w:numPr>
      </w:pPr>
      <w:r w:rsidRPr="003E15CE">
        <w:t>Ley Federal de Responsabilidades de los Servidores Públicos. DOF 31-12-1982 y sus reformas.</w:t>
      </w:r>
    </w:p>
    <w:p w:rsidR="007A5850" w:rsidRPr="003E15CE" w:rsidRDefault="007A5850" w:rsidP="007A5850">
      <w:pPr>
        <w:pStyle w:val="TEXTONORMAL"/>
        <w:numPr>
          <w:ilvl w:val="0"/>
          <w:numId w:val="25"/>
        </w:numPr>
      </w:pPr>
      <w:r w:rsidRPr="003E15CE">
        <w:t xml:space="preserve">Ley Federal de Transparencia y Acceso a la Información Pública Gubernamental. DOF 11-06-2002 y sus reformas. </w:t>
      </w:r>
    </w:p>
    <w:p w:rsidR="007A5850" w:rsidRPr="003E15CE" w:rsidRDefault="007A5850" w:rsidP="007A5850">
      <w:pPr>
        <w:pStyle w:val="TEXTONORMAL"/>
        <w:numPr>
          <w:ilvl w:val="0"/>
          <w:numId w:val="25"/>
        </w:numPr>
      </w:pPr>
      <w:r w:rsidRPr="003E15CE">
        <w:t>Ley Federal para la Administración y Enajenación de Bienes del Sector Público. DOF 19-12-2002 y sus reformas.</w:t>
      </w:r>
    </w:p>
    <w:p w:rsidR="007A5850" w:rsidRPr="003E15CE" w:rsidRDefault="007A5850" w:rsidP="007A5850">
      <w:pPr>
        <w:pStyle w:val="TEXTONORMAL"/>
        <w:numPr>
          <w:ilvl w:val="0"/>
          <w:numId w:val="25"/>
        </w:numPr>
      </w:pPr>
      <w:r w:rsidRPr="003E15CE">
        <w:t>Ley General de Bienes Nacionales. DOF 20-05-2004 y sus reformas.</w:t>
      </w:r>
    </w:p>
    <w:p w:rsidR="007A5850" w:rsidRPr="003E15CE" w:rsidRDefault="007A5850" w:rsidP="007A5850">
      <w:pPr>
        <w:pStyle w:val="TEXTONORMAL"/>
        <w:numPr>
          <w:ilvl w:val="0"/>
          <w:numId w:val="25"/>
        </w:numPr>
      </w:pPr>
      <w:r w:rsidRPr="003E15CE">
        <w:t>Ley General de Contabilidad Gubernamental. DOF 31-12-2008.</w:t>
      </w:r>
    </w:p>
    <w:p w:rsidR="007A5850" w:rsidRPr="003E15CE" w:rsidRDefault="007A5850" w:rsidP="007A5850">
      <w:pPr>
        <w:pStyle w:val="TEXTONORMAL"/>
        <w:numPr>
          <w:ilvl w:val="0"/>
          <w:numId w:val="25"/>
        </w:numPr>
      </w:pPr>
      <w:r w:rsidRPr="003E15CE">
        <w:t>Ley Orgánica de la Administración Pública Federal. DOF 29-12-1976 y sus reformas.</w:t>
      </w:r>
    </w:p>
    <w:p w:rsidR="007A5850" w:rsidRDefault="007A5850" w:rsidP="007A5850">
      <w:pPr>
        <w:numPr>
          <w:ilvl w:val="0"/>
          <w:numId w:val="25"/>
        </w:numPr>
        <w:spacing w:line="256" w:lineRule="auto"/>
        <w:rPr>
          <w:rFonts w:ascii="Montserrat" w:hAnsi="Montserrat"/>
          <w:sz w:val="18"/>
          <w:szCs w:val="18"/>
        </w:rPr>
      </w:pPr>
      <w:r w:rsidRPr="003E15CE">
        <w:rPr>
          <w:rFonts w:ascii="Montserrat" w:hAnsi="Montserrat"/>
          <w:sz w:val="18"/>
          <w:szCs w:val="18"/>
        </w:rPr>
        <w:t>Ley Federal de Remuneraciones de los Servidores Públicos. DOF 5 de noviembre de 2018.</w:t>
      </w:r>
    </w:p>
    <w:p w:rsidR="004575A7" w:rsidRDefault="004575A7" w:rsidP="004575A7">
      <w:pPr>
        <w:pStyle w:val="NormalWeb"/>
        <w:numPr>
          <w:ilvl w:val="0"/>
          <w:numId w:val="25"/>
        </w:numPr>
        <w:spacing w:before="0" w:beforeAutospacing="0" w:after="160" w:afterAutospacing="0"/>
        <w:textAlignment w:val="baseline"/>
        <w:rPr>
          <w:rFonts w:ascii="Montserrat" w:hAnsi="Montserrat"/>
          <w:color w:val="000000"/>
          <w:sz w:val="18"/>
          <w:szCs w:val="18"/>
        </w:rPr>
      </w:pPr>
      <w:r>
        <w:rPr>
          <w:rFonts w:ascii="Montserrat" w:hAnsi="Montserrat"/>
          <w:color w:val="000000"/>
          <w:sz w:val="18"/>
          <w:szCs w:val="18"/>
        </w:rPr>
        <w:t>Ley Federal de Austeridad Republicana</w:t>
      </w:r>
    </w:p>
    <w:p w:rsidR="007A5850" w:rsidRDefault="007A5850" w:rsidP="007A5850">
      <w:pPr>
        <w:ind w:left="720"/>
        <w:rPr>
          <w:rFonts w:ascii="Montserrat" w:hAnsi="Montserrat"/>
          <w:sz w:val="18"/>
          <w:szCs w:val="18"/>
        </w:rPr>
      </w:pPr>
    </w:p>
    <w:p w:rsidR="006E718F" w:rsidRPr="006E718F" w:rsidRDefault="006E718F" w:rsidP="006E718F">
      <w:pPr>
        <w:pStyle w:val="Prrafodelista"/>
        <w:numPr>
          <w:ilvl w:val="0"/>
          <w:numId w:val="24"/>
        </w:numPr>
        <w:rPr>
          <w:rFonts w:ascii="Montserrat" w:hAnsi="Montserrat"/>
          <w:sz w:val="18"/>
          <w:szCs w:val="18"/>
        </w:rPr>
      </w:pPr>
      <w:r w:rsidRPr="006E718F">
        <w:rPr>
          <w:rFonts w:ascii="Montserrat" w:hAnsi="Montserrat"/>
          <w:sz w:val="18"/>
          <w:szCs w:val="18"/>
        </w:rPr>
        <w:t>Códigos</w:t>
      </w:r>
    </w:p>
    <w:p w:rsidR="004575A7" w:rsidRDefault="004575A7" w:rsidP="006E718F">
      <w:pPr>
        <w:pStyle w:val="NormalWeb"/>
        <w:numPr>
          <w:ilvl w:val="0"/>
          <w:numId w:val="49"/>
        </w:numPr>
        <w:spacing w:before="0" w:beforeAutospacing="0" w:after="120" w:afterAutospacing="0"/>
        <w:jc w:val="both"/>
        <w:textAlignment w:val="baseline"/>
        <w:rPr>
          <w:rFonts w:ascii="Arial" w:hAnsi="Arial" w:cs="Arial"/>
          <w:color w:val="000000"/>
          <w:sz w:val="22"/>
          <w:szCs w:val="22"/>
        </w:rPr>
      </w:pPr>
      <w:r>
        <w:rPr>
          <w:rFonts w:ascii="Montserrat" w:hAnsi="Montserrat" w:cs="Arial"/>
          <w:color w:val="000000"/>
          <w:sz w:val="18"/>
          <w:szCs w:val="18"/>
        </w:rPr>
        <w:t>Código Fiscal de la Ciudad de México.</w:t>
      </w:r>
    </w:p>
    <w:p w:rsidR="004575A7" w:rsidRDefault="004575A7" w:rsidP="006E718F">
      <w:pPr>
        <w:pStyle w:val="NormalWeb"/>
        <w:numPr>
          <w:ilvl w:val="0"/>
          <w:numId w:val="49"/>
        </w:numPr>
        <w:spacing w:before="0" w:beforeAutospacing="0" w:after="120" w:afterAutospacing="0"/>
        <w:jc w:val="both"/>
        <w:textAlignment w:val="baseline"/>
        <w:rPr>
          <w:rFonts w:ascii="Arial" w:hAnsi="Arial" w:cs="Arial"/>
          <w:color w:val="000000"/>
          <w:sz w:val="22"/>
          <w:szCs w:val="22"/>
        </w:rPr>
      </w:pPr>
      <w:r>
        <w:rPr>
          <w:rFonts w:ascii="Montserrat" w:hAnsi="Montserrat" w:cs="Arial"/>
          <w:color w:val="000000"/>
          <w:sz w:val="18"/>
          <w:szCs w:val="18"/>
        </w:rPr>
        <w:t>Código Fiscal de la Federación</w:t>
      </w:r>
    </w:p>
    <w:p w:rsidR="007A5850" w:rsidRPr="003E15CE" w:rsidRDefault="007A5850" w:rsidP="007A5850">
      <w:pPr>
        <w:pStyle w:val="TEXTONORMAL"/>
        <w:ind w:left="720"/>
      </w:pPr>
      <w:r w:rsidRPr="003E15CE">
        <w:t>.</w:t>
      </w:r>
    </w:p>
    <w:p w:rsidR="007A5850" w:rsidRPr="003E15CE" w:rsidRDefault="007A5850" w:rsidP="007A5850">
      <w:pPr>
        <w:pStyle w:val="TEXTONORMAL"/>
        <w:numPr>
          <w:ilvl w:val="0"/>
          <w:numId w:val="26"/>
        </w:numPr>
      </w:pPr>
      <w:r w:rsidRPr="003E15CE">
        <w:t>Reglamentos:</w:t>
      </w:r>
    </w:p>
    <w:p w:rsidR="007A5850" w:rsidRPr="003E15CE" w:rsidRDefault="007A5850" w:rsidP="007A5850">
      <w:pPr>
        <w:pStyle w:val="TEXTONORMAL"/>
        <w:numPr>
          <w:ilvl w:val="0"/>
          <w:numId w:val="27"/>
        </w:numPr>
      </w:pPr>
      <w:r w:rsidRPr="003E15CE">
        <w:t>Reglamento de la Ley de Adquisiciones, Arrendamientos y Servicios del Sector Público. DOF 20-08-2001 y sus reformas.</w:t>
      </w:r>
    </w:p>
    <w:p w:rsidR="007A5850" w:rsidRPr="003E15CE" w:rsidRDefault="007A5850" w:rsidP="007A5850">
      <w:pPr>
        <w:pStyle w:val="TEXTONORMAL"/>
        <w:numPr>
          <w:ilvl w:val="0"/>
          <w:numId w:val="27"/>
        </w:numPr>
      </w:pPr>
      <w:r w:rsidRPr="003E15CE">
        <w:t>Reglamento de la Ley Federal de las Entidades Paraestatales. DOF 26-01-1990 y sus reformas.</w:t>
      </w:r>
    </w:p>
    <w:p w:rsidR="007A5850" w:rsidRPr="003E15CE" w:rsidRDefault="007A5850" w:rsidP="007A5850">
      <w:pPr>
        <w:pStyle w:val="TEXTONORMAL"/>
        <w:numPr>
          <w:ilvl w:val="0"/>
          <w:numId w:val="27"/>
        </w:numPr>
      </w:pPr>
      <w:r w:rsidRPr="003E15CE">
        <w:t>Reglamento de la Ley Federal de Presupuesto y Responsabilidad Hacendaria. DOF 28-06-2006 y sus reformas.</w:t>
      </w:r>
    </w:p>
    <w:p w:rsidR="007A5850" w:rsidRPr="003E15CE" w:rsidRDefault="007A5850" w:rsidP="007A5850">
      <w:pPr>
        <w:pStyle w:val="TEXTONORMAL"/>
        <w:numPr>
          <w:ilvl w:val="0"/>
          <w:numId w:val="27"/>
        </w:numPr>
      </w:pPr>
      <w:r w:rsidRPr="003E15CE">
        <w:t>Reglamento de la Ley Federal de Transparencia y Acceso a la Información Pública Gubernamental DOF 11-06-2003.</w:t>
      </w:r>
    </w:p>
    <w:p w:rsidR="007A5850" w:rsidRPr="003E15CE" w:rsidRDefault="007A5850" w:rsidP="007A5850">
      <w:pPr>
        <w:pStyle w:val="TEXTONORMAL"/>
        <w:numPr>
          <w:ilvl w:val="0"/>
          <w:numId w:val="27"/>
        </w:numPr>
      </w:pPr>
      <w:r w:rsidRPr="003E15CE">
        <w:lastRenderedPageBreak/>
        <w:t>Reglamento de la Ley Federal para la Administración y Enajenación de Bienes del Servicio Público. DOF 17-06-2003 y sus reformas.</w:t>
      </w:r>
    </w:p>
    <w:p w:rsidR="007A5850" w:rsidRPr="003E15CE" w:rsidRDefault="007A5850" w:rsidP="007A5850">
      <w:pPr>
        <w:pStyle w:val="TEXTONORMAL"/>
        <w:numPr>
          <w:ilvl w:val="0"/>
          <w:numId w:val="27"/>
        </w:numPr>
      </w:pPr>
      <w:r w:rsidRPr="003E15CE">
        <w:t>Reglamento Interior de la Secretaría del Trabajo y Previsión Social. DOF 14-11-2008 y sus reformas.</w:t>
      </w:r>
    </w:p>
    <w:p w:rsidR="007A5850" w:rsidRPr="003E15CE" w:rsidRDefault="007A5850" w:rsidP="007A5850">
      <w:pPr>
        <w:pStyle w:val="TEXTONORMAL"/>
        <w:numPr>
          <w:ilvl w:val="0"/>
          <w:numId w:val="27"/>
        </w:numPr>
      </w:pPr>
      <w:r w:rsidRPr="003E15CE">
        <w:t>Reglamento del Código Fiscal del Distrito Federal, Gaceta Oficial del Distrito Federal del 30 de diciembre de 2012.</w:t>
      </w:r>
    </w:p>
    <w:p w:rsidR="007A5850" w:rsidRPr="003E15CE" w:rsidRDefault="007A5850" w:rsidP="007A5850">
      <w:pPr>
        <w:pStyle w:val="TEXTONORMAL"/>
        <w:ind w:left="720"/>
      </w:pPr>
    </w:p>
    <w:p w:rsidR="007A5850" w:rsidRPr="003E15CE" w:rsidRDefault="007A5850" w:rsidP="007A5850">
      <w:pPr>
        <w:pStyle w:val="TEXTONORMAL"/>
      </w:pPr>
      <w:r w:rsidRPr="003E15CE">
        <w:t>El Instituto por su estructura jurídica y actividad que desarrolla, está sujeta básicamente al régimen fiscal siguiente:</w:t>
      </w:r>
    </w:p>
    <w:p w:rsidR="007A5850" w:rsidRPr="003E15CE" w:rsidRDefault="007A5850" w:rsidP="007A5850">
      <w:pPr>
        <w:pStyle w:val="TEXTONORMAL"/>
      </w:pPr>
      <w:r w:rsidRPr="003E15CE">
        <w:t>El Instituto se ubica en el Título III  de la Ley del Impuesto Sobre la Renta “ Personas Morales con Fines no  lucrativos” y sólo tiene la obligación de retener  y enterar los impuestos en los términos de las propias leyes respectivas como son: el ISR Retenido por Salarios, 10% de retención del Impuesto sobre la Renta, sobre Honorarios y Arrendamientos, dos terceras partes y la retención del 6% del Impuesto al Valor Agregado; así como, cubrir las cuotas al SAR, ISSSTE Y FOVISSSTE y está sujeto a las demás  obligaciones que les son aplicables  y que se enuncian en los artículos del 79 al 89, de la Ley del Impuesto Sobre la Renta.</w:t>
      </w:r>
    </w:p>
    <w:p w:rsidR="007A5850" w:rsidRPr="003E15CE" w:rsidRDefault="007A5850" w:rsidP="007A5850">
      <w:pPr>
        <w:pStyle w:val="TEXTONORMAL"/>
      </w:pPr>
    </w:p>
    <w:p w:rsidR="007A5850" w:rsidRPr="003E15CE" w:rsidRDefault="007A5850" w:rsidP="007A5850">
      <w:pPr>
        <w:pStyle w:val="TEXTONORMAL"/>
      </w:pPr>
      <w:r w:rsidRPr="003E15CE">
        <w:t>Obligaciones Fiscales Federales y Estatales y/o Locales</w:t>
      </w:r>
    </w:p>
    <w:p w:rsidR="007A5850" w:rsidRPr="003E15CE" w:rsidRDefault="007A5850" w:rsidP="007A5850">
      <w:pPr>
        <w:pStyle w:val="TEXTONORMAL"/>
        <w:jc w:val="left"/>
      </w:pPr>
      <w:r w:rsidRPr="003E15CE">
        <w:t>Presentar la declaración y pago provisional mensual de retenciones de Impuesto sobre la Renta por sueldos y salarios, retenciones por servicios profesionales.</w:t>
      </w:r>
    </w:p>
    <w:p w:rsidR="007A5850" w:rsidRPr="003E15CE" w:rsidRDefault="007A5850" w:rsidP="007A5850">
      <w:pPr>
        <w:pStyle w:val="TEXTONORMAL"/>
        <w:numPr>
          <w:ilvl w:val="0"/>
          <w:numId w:val="23"/>
        </w:numPr>
        <w:jc w:val="left"/>
      </w:pPr>
      <w:r w:rsidRPr="003E15CE">
        <w:t>Ley del Impuesto sobre la Renta</w:t>
      </w:r>
    </w:p>
    <w:p w:rsidR="007A5850" w:rsidRPr="003E15CE" w:rsidRDefault="007A5850" w:rsidP="007A5850">
      <w:pPr>
        <w:pStyle w:val="TEXTONORMAL"/>
        <w:numPr>
          <w:ilvl w:val="0"/>
          <w:numId w:val="28"/>
        </w:numPr>
        <w:jc w:val="left"/>
      </w:pPr>
      <w:r w:rsidRPr="003E15CE">
        <w:t>Artículo 89 fracción V último párrafo</w:t>
      </w:r>
    </w:p>
    <w:p w:rsidR="007A5850" w:rsidRPr="003E15CE" w:rsidRDefault="007A5850" w:rsidP="007A5850">
      <w:pPr>
        <w:pStyle w:val="TEXTONORMAL"/>
        <w:numPr>
          <w:ilvl w:val="0"/>
          <w:numId w:val="28"/>
        </w:numPr>
        <w:jc w:val="left"/>
      </w:pPr>
      <w:r w:rsidRPr="003E15CE">
        <w:t>Código Fiscal del D.F.</w:t>
      </w:r>
      <w:r w:rsidRPr="003E15CE">
        <w:tab/>
      </w:r>
    </w:p>
    <w:p w:rsidR="007A5850" w:rsidRPr="003E15CE" w:rsidRDefault="007A5850" w:rsidP="007A5850">
      <w:pPr>
        <w:pStyle w:val="TEXTONORMAL"/>
      </w:pPr>
      <w:r w:rsidRPr="003E15CE">
        <w:t>Presentar la declaración anual de Impuesto Sobre la Renta.</w:t>
      </w:r>
    </w:p>
    <w:p w:rsidR="007A5850" w:rsidRPr="003E15CE" w:rsidRDefault="007A5850" w:rsidP="007A5850">
      <w:pPr>
        <w:pStyle w:val="TEXTONORMAL"/>
        <w:numPr>
          <w:ilvl w:val="0"/>
          <w:numId w:val="23"/>
        </w:numPr>
      </w:pPr>
      <w:r w:rsidRPr="003E15CE">
        <w:t>Ley del Impuesto sobre la Renta</w:t>
      </w:r>
    </w:p>
    <w:p w:rsidR="007A5850" w:rsidRPr="003E15CE" w:rsidRDefault="007A5850" w:rsidP="007A5850">
      <w:pPr>
        <w:pStyle w:val="TEXTONORMAL"/>
        <w:numPr>
          <w:ilvl w:val="0"/>
          <w:numId w:val="23"/>
        </w:numPr>
      </w:pPr>
      <w:r w:rsidRPr="003E15CE">
        <w:t xml:space="preserve">Artículos 86 párrafo IV </w:t>
      </w:r>
    </w:p>
    <w:p w:rsidR="007A5850" w:rsidRPr="003E15CE" w:rsidRDefault="007A5850" w:rsidP="007A5850">
      <w:pPr>
        <w:pStyle w:val="TEXTONORMAL"/>
        <w:ind w:left="360"/>
      </w:pPr>
      <w:r w:rsidRPr="003E15CE">
        <w:t xml:space="preserve"> NORMATIVIDAD CONTABLE PRESUPUESTAL</w:t>
      </w:r>
    </w:p>
    <w:p w:rsidR="007A5850" w:rsidRPr="003E15CE" w:rsidRDefault="007A5850" w:rsidP="007A5850">
      <w:pPr>
        <w:pStyle w:val="TEXTONORMAL"/>
      </w:pPr>
      <w:r w:rsidRPr="003E15CE">
        <w:t xml:space="preserve">                  </w:t>
      </w:r>
      <w:r w:rsidRPr="003E15CE">
        <w:tab/>
        <w:t xml:space="preserve"> Ley Federal de Presupuesto y Responsabilidad Hacendaria</w:t>
      </w:r>
    </w:p>
    <w:p w:rsidR="007A5850" w:rsidRPr="003E15CE" w:rsidRDefault="007A5850" w:rsidP="007A5850">
      <w:pPr>
        <w:pStyle w:val="TEXTONORMAL"/>
      </w:pPr>
      <w:r w:rsidRPr="003E15CE">
        <w:t xml:space="preserve">                  </w:t>
      </w:r>
      <w:r w:rsidRPr="003E15CE">
        <w:tab/>
        <w:t xml:space="preserve"> Ley General de Contabilidad Gubernamental</w:t>
      </w:r>
    </w:p>
    <w:p w:rsidR="007A5850" w:rsidRPr="003E15CE" w:rsidRDefault="007A5850" w:rsidP="007A5850">
      <w:pPr>
        <w:pStyle w:val="TEXTONORMAL"/>
      </w:pPr>
      <w:r w:rsidRPr="003E15CE">
        <w:t xml:space="preserve">Contable  </w:t>
      </w:r>
      <w:r w:rsidRPr="003E15CE">
        <w:tab/>
        <w:t>Reglamento de la Ley Federal de Presupuesto y Responsabilidad Hacendaria Clasificador por Objeto del Gasto</w:t>
      </w:r>
    </w:p>
    <w:p w:rsidR="007A5850" w:rsidRPr="003E15CE" w:rsidRDefault="007A5850" w:rsidP="007A5850">
      <w:pPr>
        <w:pStyle w:val="TEXTONORMAL"/>
      </w:pPr>
      <w:r w:rsidRPr="003E15CE">
        <w:t xml:space="preserve">                   </w:t>
      </w:r>
      <w:r w:rsidRPr="003E15CE">
        <w:tab/>
        <w:t xml:space="preserve"> Normas específicas de Información Gubernamental para el Sector Paraestatal</w:t>
      </w:r>
    </w:p>
    <w:p w:rsidR="007A5850" w:rsidRPr="003E15CE" w:rsidRDefault="007A5850" w:rsidP="007A5850">
      <w:pPr>
        <w:pStyle w:val="TEXTONORMAL"/>
      </w:pPr>
      <w:r w:rsidRPr="003E15CE">
        <w:t xml:space="preserve">                   </w:t>
      </w:r>
      <w:r w:rsidRPr="003E15CE">
        <w:tab/>
        <w:t xml:space="preserve"> Norma General de Información Financiera Gubernamental</w:t>
      </w:r>
    </w:p>
    <w:p w:rsidR="007A5850" w:rsidRPr="003E15CE" w:rsidRDefault="007A5850" w:rsidP="007A5850">
      <w:pPr>
        <w:pStyle w:val="TEXTONORMAL"/>
      </w:pPr>
      <w:r w:rsidRPr="003E15CE">
        <w:t xml:space="preserve">                  </w:t>
      </w:r>
      <w:r w:rsidRPr="003E15CE">
        <w:tab/>
        <w:t xml:space="preserve"> Decreto de Presupuesto de Egresos de la Federación</w:t>
      </w:r>
    </w:p>
    <w:p w:rsidR="007A5850" w:rsidRPr="003E15CE" w:rsidRDefault="007A5850" w:rsidP="007A5850">
      <w:pPr>
        <w:pStyle w:val="TEXTONORMAL"/>
      </w:pPr>
      <w:r w:rsidRPr="003E15CE">
        <w:t xml:space="preserve">                   </w:t>
      </w:r>
      <w:r w:rsidRPr="003E15CE">
        <w:tab/>
        <w:t xml:space="preserve"> Ley Federal de Presupuesto y Responsabilidad Hacendaria</w:t>
      </w:r>
    </w:p>
    <w:p w:rsidR="007A5850" w:rsidRPr="003E15CE" w:rsidRDefault="007A5850" w:rsidP="007A5850">
      <w:pPr>
        <w:pStyle w:val="TEXTONORMAL"/>
      </w:pPr>
      <w:r w:rsidRPr="003E15CE">
        <w:t xml:space="preserve">                   </w:t>
      </w:r>
      <w:r w:rsidRPr="003E15CE">
        <w:tab/>
        <w:t xml:space="preserve"> Ley General de Contabilidad Gubernamental</w:t>
      </w:r>
    </w:p>
    <w:p w:rsidR="007A5850" w:rsidRPr="003E15CE" w:rsidRDefault="007A5850" w:rsidP="007A5850">
      <w:pPr>
        <w:pStyle w:val="TEXTONORMAL"/>
      </w:pPr>
      <w:r w:rsidRPr="003E15CE">
        <w:lastRenderedPageBreak/>
        <w:t>Presupuestal</w:t>
      </w:r>
      <w:r w:rsidRPr="003E15CE">
        <w:tab/>
        <w:t>Reglamento de la Ley Federal de Presupuesto y Responsabilidad Hacendaria Clasificador por Objeto del Gasto</w:t>
      </w:r>
    </w:p>
    <w:p w:rsidR="007A5850" w:rsidRPr="003E15CE" w:rsidRDefault="007A5850" w:rsidP="007A5850">
      <w:pPr>
        <w:pStyle w:val="TEXTONORMAL"/>
      </w:pPr>
      <w:r w:rsidRPr="003E15CE">
        <w:t xml:space="preserve">                   </w:t>
      </w:r>
      <w:r w:rsidRPr="003E15CE">
        <w:tab/>
        <w:t xml:space="preserve"> Normas específicas de Información Gubernamental para el Sector Paraestatal</w:t>
      </w:r>
    </w:p>
    <w:p w:rsidR="007A5850" w:rsidRDefault="007A5850" w:rsidP="007A5850">
      <w:pPr>
        <w:pStyle w:val="TEXTONORMAL"/>
      </w:pPr>
      <w:r w:rsidRPr="003E15CE">
        <w:t xml:space="preserve">                  </w:t>
      </w:r>
      <w:r w:rsidRPr="003E15CE">
        <w:tab/>
        <w:t xml:space="preserve"> Norma General de Información Financiera Gubernamental</w:t>
      </w:r>
    </w:p>
    <w:p w:rsidR="00B26D50" w:rsidRDefault="00B26D50" w:rsidP="007A5850">
      <w:pPr>
        <w:pStyle w:val="TEXTONORMAL"/>
      </w:pPr>
    </w:p>
    <w:p w:rsidR="007A5850" w:rsidRPr="003E15CE" w:rsidRDefault="007A5850" w:rsidP="007A5850">
      <w:pPr>
        <w:pStyle w:val="TEXTONORMAL"/>
        <w:numPr>
          <w:ilvl w:val="0"/>
          <w:numId w:val="23"/>
        </w:numPr>
      </w:pPr>
      <w:r w:rsidRPr="003E15CE">
        <w:t xml:space="preserve"> Estructura Organizacional Básica</w:t>
      </w:r>
    </w:p>
    <w:p w:rsidR="007A5850" w:rsidRDefault="007A5850" w:rsidP="007A5850">
      <w:pPr>
        <w:pStyle w:val="TEXTONORMAL"/>
      </w:pPr>
    </w:p>
    <w:p w:rsidR="007A5850" w:rsidRPr="001B59BF" w:rsidRDefault="00B31913" w:rsidP="007A5850">
      <w:pPr>
        <w:pStyle w:val="TEXTONORMAL"/>
      </w:pPr>
      <w:r w:rsidRPr="004575A7">
        <w:rPr>
          <w:noProof/>
          <w:lang w:val="es-MX" w:eastAsia="es-MX"/>
        </w:rPr>
        <w:drawing>
          <wp:anchor distT="0" distB="0" distL="114300" distR="114300" simplePos="0" relativeHeight="251658240" behindDoc="0" locked="0" layoutInCell="1" allowOverlap="1" wp14:anchorId="51CD252F" wp14:editId="461852C4">
            <wp:simplePos x="0" y="0"/>
            <wp:positionH relativeFrom="column">
              <wp:posOffset>71120</wp:posOffset>
            </wp:positionH>
            <wp:positionV relativeFrom="paragraph">
              <wp:posOffset>97154</wp:posOffset>
            </wp:positionV>
            <wp:extent cx="7837552" cy="40862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7552" cy="4086225"/>
                    </a:xfrm>
                    <a:prstGeom prst="rect">
                      <a:avLst/>
                    </a:prstGeom>
                    <a:noFill/>
                  </pic:spPr>
                </pic:pic>
              </a:graphicData>
            </a:graphic>
            <wp14:sizeRelH relativeFrom="page">
              <wp14:pctWidth>0</wp14:pctWidth>
            </wp14:sizeRelH>
            <wp14:sizeRelV relativeFrom="page">
              <wp14:pctHeight>0</wp14:pctHeight>
            </wp14:sizeRelV>
          </wp:anchor>
        </w:drawing>
      </w:r>
    </w:p>
    <w:p w:rsidR="007A5850" w:rsidRPr="001B59BF" w:rsidRDefault="007A5850" w:rsidP="007A5850">
      <w:pPr>
        <w:pStyle w:val="TEXTONORMAL"/>
      </w:pPr>
    </w:p>
    <w:p w:rsidR="007A5850" w:rsidRPr="001B59BF" w:rsidRDefault="007A5850" w:rsidP="007A5850">
      <w:pPr>
        <w:pStyle w:val="TEXTONORMAL"/>
      </w:pPr>
    </w:p>
    <w:p w:rsidR="007A5850" w:rsidRPr="001B59BF" w:rsidRDefault="004575A7" w:rsidP="007A5850">
      <w:pPr>
        <w:pStyle w:val="TEXTONORMAL"/>
      </w:pPr>
      <w:r>
        <w:rPr>
          <w:noProof/>
          <w:lang w:val="es-MX" w:eastAsia="es-MX"/>
        </w:rPr>
        <w:drawing>
          <wp:inline distT="0" distB="0" distL="0" distR="0" wp14:anchorId="69E04287" wp14:editId="5B6521C3">
            <wp:extent cx="6426059" cy="3162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4930" cy="3161744"/>
                    </a:xfrm>
                    <a:prstGeom prst="rect">
                      <a:avLst/>
                    </a:prstGeom>
                    <a:noFill/>
                  </pic:spPr>
                </pic:pic>
              </a:graphicData>
            </a:graphic>
          </wp:inline>
        </w:drawing>
      </w:r>
    </w:p>
    <w:p w:rsidR="007A5850" w:rsidRPr="001B59BF" w:rsidRDefault="007A5850" w:rsidP="007A5850">
      <w:pPr>
        <w:pStyle w:val="TEXTONORMAL"/>
      </w:pPr>
    </w:p>
    <w:p w:rsidR="007A5850" w:rsidRPr="001B59BF" w:rsidRDefault="007A5850" w:rsidP="007A5850">
      <w:pPr>
        <w:pStyle w:val="TEXTONORMAL"/>
      </w:pPr>
    </w:p>
    <w:p w:rsidR="007A5850" w:rsidRDefault="007A5850"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p>
    <w:p w:rsidR="004575A7" w:rsidRDefault="004575A7" w:rsidP="007A5850">
      <w:pPr>
        <w:pStyle w:val="TEXTONORMAL"/>
      </w:pPr>
      <w:r>
        <w:rPr>
          <w:noProof/>
          <w:lang w:val="es-MX" w:eastAsia="es-MX"/>
        </w:rPr>
        <w:drawing>
          <wp:inline distT="0" distB="0" distL="0" distR="0">
            <wp:extent cx="6424930" cy="360934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4930" cy="3609340"/>
                    </a:xfrm>
                    <a:prstGeom prst="rect">
                      <a:avLst/>
                    </a:prstGeom>
                    <a:noFill/>
                  </pic:spPr>
                </pic:pic>
              </a:graphicData>
            </a:graphic>
          </wp:inline>
        </w:drawing>
      </w:r>
    </w:p>
    <w:p w:rsidR="007A5850" w:rsidRDefault="007A5850" w:rsidP="007A5850">
      <w:pPr>
        <w:pStyle w:val="TEXTONORMAL"/>
      </w:pPr>
    </w:p>
    <w:p w:rsidR="006E718F" w:rsidRDefault="006E718F" w:rsidP="007A5850">
      <w:pPr>
        <w:pStyle w:val="TEXTONORMAL"/>
      </w:pPr>
    </w:p>
    <w:p w:rsidR="006E718F" w:rsidRDefault="006E718F" w:rsidP="007A5850">
      <w:pPr>
        <w:pStyle w:val="TEXTONORMAL"/>
      </w:pPr>
    </w:p>
    <w:p w:rsidR="006E718F" w:rsidRPr="001B59BF" w:rsidRDefault="006E718F" w:rsidP="007A5850">
      <w:pPr>
        <w:pStyle w:val="TEXTONORMAL"/>
      </w:pPr>
    </w:p>
    <w:p w:rsidR="007A5850" w:rsidRDefault="007A5850" w:rsidP="007A5850">
      <w:pPr>
        <w:pStyle w:val="TEXTONORMAL"/>
        <w:numPr>
          <w:ilvl w:val="0"/>
          <w:numId w:val="23"/>
        </w:numPr>
      </w:pPr>
      <w:r w:rsidRPr="003E15CE">
        <w:lastRenderedPageBreak/>
        <w:t>NORMATIVIDAD GUBERNAMENTAL</w:t>
      </w:r>
    </w:p>
    <w:p w:rsidR="006E718F" w:rsidRPr="003E15CE" w:rsidRDefault="006E718F" w:rsidP="006E718F">
      <w:pPr>
        <w:pStyle w:val="TEXTONORMAL"/>
        <w:ind w:left="720"/>
      </w:pPr>
    </w:p>
    <w:p w:rsidR="007A5850" w:rsidRDefault="007A5850" w:rsidP="007A5850">
      <w:pPr>
        <w:pStyle w:val="TEXTONORMAL"/>
        <w:numPr>
          <w:ilvl w:val="0"/>
          <w:numId w:val="29"/>
        </w:numPr>
      </w:pPr>
      <w:r w:rsidRPr="003E15CE">
        <w:t>La Ley General de Contabilidad Gubernamental (LGCG), publicada el 31 de diciembre de 2008,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de Armonización Contable (CONAC), cuya función es emitir las normas contables gubernamentales que deberán aplicar los entes públicos.</w:t>
      </w:r>
    </w:p>
    <w:p w:rsidR="00063C9A" w:rsidRPr="003E15CE" w:rsidRDefault="00063C9A" w:rsidP="00B31913">
      <w:pPr>
        <w:pStyle w:val="TEXTONORMAL"/>
        <w:ind w:left="720"/>
      </w:pPr>
    </w:p>
    <w:p w:rsidR="007A5850" w:rsidRDefault="007A5850" w:rsidP="007A5850">
      <w:pPr>
        <w:pStyle w:val="TEXTONORMAL"/>
        <w:numPr>
          <w:ilvl w:val="0"/>
          <w:numId w:val="29"/>
        </w:numPr>
      </w:pPr>
      <w:r w:rsidRPr="003E15CE">
        <w:t>El CONAC ha emitido diversas normas contables gubernamentales, que se han aplicado en los entes públicos en forma gradual desde su publicación y son de aplicación obligatoria a partir del ejercicio 2014, ya que la implementación ha requerido adecuar los sistemas informáticos y administrativos de las áreas de contabilidad y de operación que son fuente primaria de la información contable.</w:t>
      </w:r>
    </w:p>
    <w:p w:rsidR="00063C9A" w:rsidRPr="003E15CE" w:rsidRDefault="00063C9A" w:rsidP="00063C9A">
      <w:pPr>
        <w:pStyle w:val="TEXTONORMAL"/>
        <w:ind w:left="720"/>
      </w:pPr>
    </w:p>
    <w:p w:rsidR="007A5850" w:rsidRPr="003E15CE" w:rsidRDefault="007A5850" w:rsidP="007A5850">
      <w:pPr>
        <w:pStyle w:val="TEXTONORMAL"/>
        <w:numPr>
          <w:ilvl w:val="0"/>
          <w:numId w:val="29"/>
        </w:numPr>
      </w:pPr>
      <w:r w:rsidRPr="003E15CE">
        <w:t>Las normas contables gubernamentales emitidas por el CONAC establecidas son; Postulados Básicos de Contabilidad Gubernamental (PBCG), Normas de Información Financiera Gubernamental (NIFG),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para la Información Financiera (CINIF), ni con las Normas Gubernamentales que se venían aplicando.</w:t>
      </w:r>
    </w:p>
    <w:p w:rsidR="007A5850" w:rsidRPr="003E15CE" w:rsidRDefault="007A5850" w:rsidP="007A5850">
      <w:pPr>
        <w:pStyle w:val="TEXTONORMAL"/>
        <w:numPr>
          <w:ilvl w:val="0"/>
          <w:numId w:val="29"/>
        </w:numPr>
      </w:pPr>
      <w:r w:rsidRPr="003E15CE">
        <w:t>Por lo antes expuesto, los estados financieros al 3</w:t>
      </w:r>
      <w:r w:rsidR="00B31913">
        <w:t>0</w:t>
      </w:r>
      <w:r w:rsidRPr="003E15CE">
        <w:t xml:space="preserve"> de </w:t>
      </w:r>
      <w:r w:rsidR="00B31913">
        <w:t>septiembre</w:t>
      </w:r>
      <w:r w:rsidRPr="003E15CE">
        <w:t xml:space="preserve"> de 202</w:t>
      </w:r>
      <w:r w:rsidR="00B31913">
        <w:t>2</w:t>
      </w:r>
      <w:r w:rsidRPr="003E15CE">
        <w:t xml:space="preserve"> se estructuraron bajo estas nuevas normas y metodología para la emisión de información financiera y estructura de los estados financieros básicos del ente público y características de sus notas publicadas el 1º de diciembre de 2009, buscando que fueran comparables entre sí.</w:t>
      </w:r>
    </w:p>
    <w:p w:rsidR="007A5850" w:rsidRPr="003E15CE" w:rsidRDefault="007A5850" w:rsidP="007A5850">
      <w:pPr>
        <w:pStyle w:val="TEXTONORMAL"/>
        <w:ind w:left="371" w:firstLine="349"/>
      </w:pPr>
      <w:r w:rsidRPr="003E15CE">
        <w:t>5. Políticas de Contabilidad Significativas</w:t>
      </w:r>
    </w:p>
    <w:p w:rsidR="007A5850" w:rsidRPr="003E15CE" w:rsidRDefault="007A5850" w:rsidP="007A5850">
      <w:pPr>
        <w:pStyle w:val="TEXTONORMAL"/>
        <w:numPr>
          <w:ilvl w:val="0"/>
          <w:numId w:val="30"/>
        </w:numPr>
      </w:pPr>
      <w:r w:rsidRPr="003E15CE">
        <w:t>Las principales políticas contables de la institución, en la preparación de sus estados financieros, se resumen a continuación:</w:t>
      </w:r>
    </w:p>
    <w:p w:rsidR="007A5850" w:rsidRPr="003E15CE" w:rsidRDefault="007A5850" w:rsidP="007A5850">
      <w:pPr>
        <w:pStyle w:val="TEXTONORMAL"/>
        <w:ind w:left="720"/>
      </w:pPr>
      <w:r w:rsidRPr="003E15CE">
        <w:t>6. Bases de preparación de estados financieros</w:t>
      </w:r>
    </w:p>
    <w:p w:rsidR="007A5850" w:rsidRPr="003E15CE" w:rsidRDefault="007A5850" w:rsidP="007A5850">
      <w:pPr>
        <w:pStyle w:val="TEXTONORMAL"/>
        <w:numPr>
          <w:ilvl w:val="0"/>
          <w:numId w:val="29"/>
        </w:numPr>
      </w:pPr>
      <w:r w:rsidRPr="003E15CE">
        <w:t>Los estados financieros que se acompañan se han preparado de acuerdo con los Postulados Básicos de Contabilidad Gubernamental y Normas Específicas de Información Financiera Gubernamental para el Sector Paraestatal, emitidas por la Unidad de Contabilidad Gubernamental e Informes sobre la Gestión Pública dependiente de la Secretaría de Hacienda y Crédito Público (SHCP), así como disposiciones generales que emita dicha dependencia y, supletoriamente podrá aplicar las Normas de Información Financiera emitidas por el Consejo Mexicano para la Investigación y Desarrollo de Normas de Información (CINIF), previa autorización de la SHCP.</w:t>
      </w:r>
    </w:p>
    <w:p w:rsidR="007A5850" w:rsidRPr="003E15CE" w:rsidRDefault="007A5850" w:rsidP="007A5850">
      <w:pPr>
        <w:pStyle w:val="TEXTONORMAL"/>
        <w:numPr>
          <w:ilvl w:val="0"/>
          <w:numId w:val="29"/>
        </w:numPr>
      </w:pPr>
      <w:r w:rsidRPr="003E15CE">
        <w:t>Reconocimiento de los efectos de la inflación en la información financiera</w:t>
      </w:r>
    </w:p>
    <w:p w:rsidR="007A5850" w:rsidRDefault="007A5850" w:rsidP="007A5850">
      <w:pPr>
        <w:pStyle w:val="TEXTONORMAL"/>
        <w:ind w:left="709"/>
      </w:pPr>
      <w:r w:rsidRPr="003E15CE">
        <w:t>La economía mexicana se encuentra en un entorno no inflacionario, al mantener una inflación acumulada en los últimos tres años inferior al 26% (límite máximo para definir que una economía debe considerarse como no inflacionaria), por lo tanto, a partir del 1 de enero de 2008 se suspendió el reconocimiento de los efectos de la inflación en la información financiera (desconexión de la contabilidad inflacionaria) de conformidad con los lineamientos de la NEIFGSP 007 “Norma de Información Financiera para el Reconocimiento de los Efectos de la Inflación” Apartado D. Consecuentemente, las cifras al 3</w:t>
      </w:r>
      <w:r w:rsidR="00B31913">
        <w:t>0</w:t>
      </w:r>
      <w:r w:rsidRPr="003E15CE">
        <w:t xml:space="preserve"> de </w:t>
      </w:r>
      <w:proofErr w:type="spellStart"/>
      <w:r w:rsidR="00B31913">
        <w:t>septiemre</w:t>
      </w:r>
      <w:proofErr w:type="spellEnd"/>
      <w:r w:rsidRPr="003E15CE">
        <w:t xml:space="preserve"> de 202</w:t>
      </w:r>
      <w:r w:rsidR="00B31913">
        <w:t>2</w:t>
      </w:r>
      <w:r w:rsidRPr="003E15CE">
        <w:t xml:space="preserve"> de los estados financieros adjuntos, se presentan en pesos históricos. </w:t>
      </w:r>
    </w:p>
    <w:p w:rsidR="00063C9A" w:rsidRPr="003E15CE" w:rsidRDefault="00063C9A" w:rsidP="007A5850">
      <w:pPr>
        <w:pStyle w:val="TEXTONORMAL"/>
        <w:ind w:left="709"/>
      </w:pPr>
    </w:p>
    <w:p w:rsidR="007A5850" w:rsidRPr="003E15CE" w:rsidRDefault="007A5850" w:rsidP="007A5850">
      <w:pPr>
        <w:pStyle w:val="TEXTONORMAL"/>
        <w:ind w:left="720"/>
      </w:pPr>
      <w:r w:rsidRPr="003E15CE">
        <w:lastRenderedPageBreak/>
        <w:t>7. Posición en Moneda Extranjera y Protección por Riesgo Cambiario.</w:t>
      </w:r>
    </w:p>
    <w:p w:rsidR="007A5850" w:rsidRPr="003E15CE" w:rsidRDefault="007A5850" w:rsidP="007A5850">
      <w:pPr>
        <w:pStyle w:val="TEXTONORMAL"/>
        <w:numPr>
          <w:ilvl w:val="0"/>
          <w:numId w:val="31"/>
        </w:numPr>
      </w:pPr>
      <w:r w:rsidRPr="003E15CE">
        <w:t>El Instituto no tiene registros de operaciones en moneda extranjera, salvo la adquisición de mercancías en dólares por política del proveedor.</w:t>
      </w:r>
    </w:p>
    <w:p w:rsidR="007A5850" w:rsidRPr="003E15CE" w:rsidRDefault="007A5850" w:rsidP="007A5850">
      <w:pPr>
        <w:pStyle w:val="TEXTONORMAL"/>
        <w:ind w:left="720"/>
      </w:pPr>
      <w:r w:rsidRPr="003E15CE">
        <w:t>8. Reporte analítico del Activo.</w:t>
      </w:r>
    </w:p>
    <w:p w:rsidR="007A5850" w:rsidRPr="003E15CE" w:rsidRDefault="007A5850" w:rsidP="007A5850">
      <w:pPr>
        <w:pStyle w:val="TEXTONORMAL"/>
        <w:numPr>
          <w:ilvl w:val="0"/>
          <w:numId w:val="32"/>
        </w:numPr>
        <w:ind w:left="1069"/>
      </w:pPr>
      <w:r w:rsidRPr="003E15CE">
        <w:t>La depreciación de los inmuebles, mobiliario y equipo se calcula por el método de línea recta aplicando las tasas señaladas con anterioridad conforme a la Ley del Impuesto Sobre la Renta, utilizando para ello las tasas establecidas.</w:t>
      </w:r>
    </w:p>
    <w:p w:rsidR="007A5850" w:rsidRPr="003E15CE" w:rsidRDefault="007A5850" w:rsidP="007A5850">
      <w:pPr>
        <w:pStyle w:val="TEXTONORMAL"/>
        <w:numPr>
          <w:ilvl w:val="0"/>
          <w:numId w:val="32"/>
        </w:numPr>
        <w:ind w:left="1069"/>
      </w:pPr>
      <w:r w:rsidRPr="003E15CE">
        <w:t>Inmuebles, mobiliario y equipo.</w:t>
      </w:r>
    </w:p>
    <w:p w:rsidR="007A5850" w:rsidRPr="003E15CE" w:rsidRDefault="007A5850" w:rsidP="007A5850">
      <w:pPr>
        <w:pStyle w:val="TEXTONORMAL"/>
        <w:numPr>
          <w:ilvl w:val="0"/>
          <w:numId w:val="33"/>
        </w:numPr>
        <w:ind w:left="1069"/>
      </w:pPr>
      <w:r w:rsidRPr="003E15CE">
        <w:t>Los inmuebles, mobiliario y equipo se registran al costo de adquisición, donación o de construcción, de acuerdo con lo señalado en la NEIFGSP 015 “Norma para el Registro Contable del Activo Fijo”.</w:t>
      </w:r>
    </w:p>
    <w:p w:rsidR="007A5850" w:rsidRPr="003E15CE" w:rsidRDefault="007A5850" w:rsidP="007A5850">
      <w:pPr>
        <w:pStyle w:val="TEXTONORMAL"/>
        <w:ind w:left="720"/>
      </w:pPr>
      <w:r w:rsidRPr="003E15CE">
        <w:t>9. Fideicomisos, Mandatos y Análogos</w:t>
      </w:r>
    </w:p>
    <w:p w:rsidR="007A5850" w:rsidRPr="003E15CE" w:rsidRDefault="007A5850" w:rsidP="007A5850">
      <w:pPr>
        <w:pStyle w:val="TEXTONORMAL"/>
        <w:ind w:left="720"/>
      </w:pPr>
      <w:r w:rsidRPr="003E15CE">
        <w:t>En 202</w:t>
      </w:r>
      <w:r w:rsidR="00B31913">
        <w:t>2</w:t>
      </w:r>
      <w:r w:rsidRPr="003E15CE">
        <w:t xml:space="preserve"> y 202</w:t>
      </w:r>
      <w:r w:rsidR="00B31913">
        <w:t>1</w:t>
      </w:r>
      <w:r w:rsidRPr="003E15CE">
        <w:t xml:space="preserve"> no se recibieron recursos por parte de fideicomiso.</w:t>
      </w:r>
    </w:p>
    <w:p w:rsidR="007A5850" w:rsidRPr="003E15CE" w:rsidRDefault="007A5850" w:rsidP="007A5850">
      <w:pPr>
        <w:pStyle w:val="TEXTONORMAL"/>
        <w:ind w:left="720"/>
      </w:pPr>
    </w:p>
    <w:p w:rsidR="007A5850" w:rsidRPr="003E15CE" w:rsidRDefault="007A5850" w:rsidP="007A5850">
      <w:pPr>
        <w:pStyle w:val="TEXTONORMAL"/>
        <w:ind w:left="720"/>
      </w:pPr>
      <w:r w:rsidRPr="003E15CE">
        <w:t>10. Reporte de la Recaudación.</w:t>
      </w:r>
    </w:p>
    <w:p w:rsidR="007A5850" w:rsidRPr="003E15CE" w:rsidRDefault="007A5850" w:rsidP="007A5850">
      <w:pPr>
        <w:pStyle w:val="TEXTONORMAL"/>
        <w:ind w:left="720"/>
      </w:pPr>
      <w:r w:rsidRPr="003E15CE">
        <w:t xml:space="preserve">Se recaudaron Ingresos por la venta de servicios </w:t>
      </w:r>
      <w:r w:rsidR="00B31913">
        <w:t>17</w:t>
      </w:r>
      <w:proofErr w:type="gramStart"/>
      <w:r w:rsidR="00B31913">
        <w:t>,856,758</w:t>
      </w:r>
      <w:proofErr w:type="gramEnd"/>
      <w:r w:rsidRPr="003E15CE">
        <w:t xml:space="preserve"> pesos M.N., para el ejercicio 202</w:t>
      </w:r>
      <w:r w:rsidR="00B31913">
        <w:t>2</w:t>
      </w:r>
      <w:r w:rsidRPr="003E15CE">
        <w:t xml:space="preserve"> se tenía un presupuesto de </w:t>
      </w:r>
      <w:r w:rsidR="00B31913">
        <w:t>60,000,000</w:t>
      </w:r>
      <w:r w:rsidRPr="003E15CE">
        <w:t xml:space="preserve"> pesos M.N. de ingresos Propios.</w:t>
      </w:r>
    </w:p>
    <w:p w:rsidR="007A5850" w:rsidRPr="003E15CE" w:rsidRDefault="007A5850" w:rsidP="007A5850">
      <w:pPr>
        <w:pStyle w:val="TEXTONORMAL"/>
        <w:ind w:left="720"/>
      </w:pPr>
    </w:p>
    <w:p w:rsidR="007A5850" w:rsidRPr="003E15CE" w:rsidRDefault="007A5850" w:rsidP="007A5850">
      <w:pPr>
        <w:pStyle w:val="TEXTONORMAL"/>
        <w:ind w:left="720"/>
      </w:pPr>
      <w:r w:rsidRPr="003E15CE">
        <w:t>11. Información sobre la Deuda y el Reporte Analítico de la Deuda.</w:t>
      </w:r>
    </w:p>
    <w:p w:rsidR="007A5850" w:rsidRPr="003E15CE" w:rsidRDefault="007A5850" w:rsidP="007A5850">
      <w:pPr>
        <w:pStyle w:val="TEXTONORMAL"/>
        <w:ind w:left="720"/>
      </w:pPr>
      <w:r w:rsidRPr="003E15CE">
        <w:t>La Deuda se integra por impuestos pendientes de enterar al cierre del ejercicio y por recursos de terceros.</w:t>
      </w:r>
    </w:p>
    <w:p w:rsidR="007A5850" w:rsidRPr="003E15CE" w:rsidRDefault="007A5850" w:rsidP="007A5850">
      <w:pPr>
        <w:pStyle w:val="TEXTONORMAL"/>
        <w:ind w:left="720"/>
      </w:pPr>
      <w:r w:rsidRPr="003E15CE">
        <w:t>12. Calificaciones Otorgadas.</w:t>
      </w:r>
    </w:p>
    <w:p w:rsidR="007A5850" w:rsidRPr="003E15CE" w:rsidRDefault="007A5850" w:rsidP="007A5850">
      <w:pPr>
        <w:pStyle w:val="TEXTONORMAL"/>
        <w:ind w:left="720"/>
      </w:pPr>
      <w:r w:rsidRPr="003E15CE">
        <w:t>Sin Información que revelar.</w:t>
      </w:r>
    </w:p>
    <w:p w:rsidR="007A5850" w:rsidRPr="003E15CE" w:rsidRDefault="007A5850" w:rsidP="007A5850">
      <w:pPr>
        <w:pStyle w:val="TEXTONORMAL"/>
        <w:ind w:left="720"/>
      </w:pPr>
      <w:r w:rsidRPr="003E15CE">
        <w:t>13. Proceso de Mejora.</w:t>
      </w:r>
    </w:p>
    <w:p w:rsidR="007A5850" w:rsidRPr="003E15CE" w:rsidRDefault="007A5850" w:rsidP="007A5850">
      <w:pPr>
        <w:pStyle w:val="TEXTONORMAL"/>
        <w:ind w:left="720"/>
      </w:pPr>
      <w:r w:rsidRPr="003E15CE">
        <w:t>El informe de cumplimiento de metas institucionales se presenta ente el comité de Control y Desempeño Institucional (COCODI) del INMEGEN. Respecto a la alineación al Plan Nacional de Desarrollo, las actividades sustantivas del Instituto Nacional de Medicina Genómica se vinculan con el Plan Nacional de Desarrollo 2019-2024  para cumplir con el objetivo general de “Llevar a México a su máximo potencial” contribuyendo en el ámbito de sus atribuciones al logro de las metas nacionales de un “México Incluyente” a través de la generación de productos y servicios de base genómica que favorezca una medicina más preventiva, participativa y personalizada.</w:t>
      </w:r>
    </w:p>
    <w:p w:rsidR="007A5850" w:rsidRPr="003E15CE" w:rsidRDefault="007A5850" w:rsidP="007A5850">
      <w:pPr>
        <w:pStyle w:val="TEXTONORMAL"/>
        <w:ind w:left="720"/>
      </w:pPr>
    </w:p>
    <w:p w:rsidR="007A5850" w:rsidRPr="003E15CE" w:rsidRDefault="007A5850" w:rsidP="007A5850">
      <w:pPr>
        <w:pStyle w:val="TEXTONORMAL"/>
        <w:ind w:left="720"/>
      </w:pPr>
      <w:r w:rsidRPr="003E15CE">
        <w:t>14. INFORMACION POR SEGMENTOS.</w:t>
      </w:r>
    </w:p>
    <w:p w:rsidR="007A5850" w:rsidRPr="003E15CE" w:rsidRDefault="007A5850" w:rsidP="007A5850">
      <w:pPr>
        <w:pStyle w:val="TEXTONORMAL"/>
        <w:ind w:left="720"/>
      </w:pPr>
      <w:r w:rsidRPr="003E15CE">
        <w:t>Sin información que revelar.</w:t>
      </w:r>
    </w:p>
    <w:p w:rsidR="007A5850" w:rsidRPr="003E15CE" w:rsidRDefault="007A5850" w:rsidP="007A5850">
      <w:pPr>
        <w:pStyle w:val="TEXTONORMAL"/>
        <w:ind w:left="720"/>
      </w:pPr>
    </w:p>
    <w:p w:rsidR="007A5850" w:rsidRPr="003E15CE" w:rsidRDefault="007A5850" w:rsidP="007A5850">
      <w:pPr>
        <w:pStyle w:val="TEXTONORMAL"/>
        <w:ind w:left="720"/>
      </w:pPr>
      <w:r w:rsidRPr="003E15CE">
        <w:lastRenderedPageBreak/>
        <w:t>15. Eventos Posteriores al Cierre.</w:t>
      </w:r>
    </w:p>
    <w:p w:rsidR="007A5850" w:rsidRPr="003E15CE" w:rsidRDefault="007A5850" w:rsidP="007A5850">
      <w:pPr>
        <w:pStyle w:val="TEXTONORMAL"/>
        <w:ind w:left="720"/>
      </w:pPr>
      <w:r w:rsidRPr="003E15CE">
        <w:t>No tenemos eventos que afecten los estados financieros del ejercicio.</w:t>
      </w:r>
    </w:p>
    <w:p w:rsidR="007A5850" w:rsidRPr="003E15CE" w:rsidRDefault="007A5850" w:rsidP="007A5850">
      <w:pPr>
        <w:pStyle w:val="TEXTONORMAL"/>
        <w:ind w:left="720"/>
      </w:pPr>
    </w:p>
    <w:p w:rsidR="007A5850" w:rsidRPr="003E15CE" w:rsidRDefault="007A5850" w:rsidP="007A5850">
      <w:pPr>
        <w:pStyle w:val="TEXTONORMAL"/>
        <w:ind w:left="720"/>
      </w:pPr>
      <w:r w:rsidRPr="003E15CE">
        <w:t>16. Partes Relacionadas.</w:t>
      </w:r>
    </w:p>
    <w:p w:rsidR="007A5850" w:rsidRPr="003E15CE" w:rsidRDefault="007A5850" w:rsidP="007A5850">
      <w:pPr>
        <w:pStyle w:val="TEXTONORMAL"/>
        <w:ind w:left="720"/>
      </w:pPr>
      <w:r w:rsidRPr="003E15CE">
        <w:t>Se informa que no existen partes relacionadas para la toma de decisiones.</w:t>
      </w:r>
    </w:p>
    <w:p w:rsidR="007A5850" w:rsidRPr="003E15CE" w:rsidRDefault="007A5850" w:rsidP="007A5850">
      <w:pPr>
        <w:pStyle w:val="TEXTONORMAL"/>
        <w:ind w:left="720"/>
      </w:pPr>
    </w:p>
    <w:p w:rsidR="007A5850" w:rsidRPr="003E15CE" w:rsidRDefault="007A5850" w:rsidP="007A5850">
      <w:pPr>
        <w:pStyle w:val="TEXTONORMAL"/>
        <w:ind w:firstLine="709"/>
      </w:pPr>
      <w:r w:rsidRPr="003E15CE">
        <w:t>18. Responsabilidad Sobre la Presentación Razonable de la Información Contable.</w:t>
      </w:r>
    </w:p>
    <w:p w:rsidR="007A5850" w:rsidRPr="003E15CE" w:rsidRDefault="007A5850" w:rsidP="007A5850">
      <w:pPr>
        <w:pStyle w:val="TEXTONORMAL"/>
        <w:ind w:firstLine="709"/>
      </w:pPr>
    </w:p>
    <w:p w:rsidR="007A5850" w:rsidRPr="003E15CE" w:rsidRDefault="007A5850" w:rsidP="007A5850">
      <w:pPr>
        <w:pStyle w:val="TEXTONORMAL"/>
      </w:pPr>
      <w:r w:rsidRPr="003E15CE">
        <w:t>“Bajo protesta de decir verdad declaramos que los Estados Financieros y sus notas, son razonablemente correctos y son responsabilidad del Instituto Nacional de Medicina Genómica”</w:t>
      </w:r>
    </w:p>
    <w:p w:rsidR="007A5850" w:rsidRDefault="007A5850" w:rsidP="007A5850">
      <w:pPr>
        <w:pStyle w:val="TEXTONORMAL"/>
      </w:pPr>
    </w:p>
    <w:p w:rsidR="00B31913" w:rsidRPr="003E15CE" w:rsidRDefault="00B31913" w:rsidP="007A5850">
      <w:pPr>
        <w:pStyle w:val="TEXTONORMAL"/>
      </w:pPr>
    </w:p>
    <w:p w:rsidR="007A5850" w:rsidRPr="003E15CE" w:rsidRDefault="007A5850" w:rsidP="007A5850">
      <w:pPr>
        <w:pStyle w:val="TEXTONORMAL"/>
      </w:pPr>
    </w:p>
    <w:p w:rsidR="007A5850" w:rsidRPr="003E15CE" w:rsidRDefault="007A5850" w:rsidP="007A5850">
      <w:pPr>
        <w:pStyle w:val="TEXTONORMAL"/>
      </w:pPr>
      <w:r w:rsidRPr="003E15CE">
        <w:t xml:space="preserve">      ____________________</w:t>
      </w:r>
      <w:r w:rsidR="00700DBB" w:rsidRPr="003E15CE">
        <w:t>_______</w:t>
      </w:r>
      <w:r w:rsidRPr="003E15CE">
        <w:t xml:space="preserve">___________________________     </w:t>
      </w:r>
      <w:r w:rsidR="00EA2A64">
        <w:t xml:space="preserve">                                            </w:t>
      </w:r>
      <w:r w:rsidR="00700DBB" w:rsidRPr="003E15CE">
        <w:t xml:space="preserve">  _______</w:t>
      </w:r>
      <w:r w:rsidRPr="003E15CE">
        <w:t>__________________________________________</w:t>
      </w:r>
    </w:p>
    <w:p w:rsidR="007A5850" w:rsidRPr="003E15CE" w:rsidRDefault="007A5850" w:rsidP="007A5850">
      <w:pPr>
        <w:pStyle w:val="TEXTONORMAL"/>
      </w:pPr>
      <w:r w:rsidRPr="003E15CE">
        <w:t xml:space="preserve">     </w:t>
      </w:r>
      <w:r w:rsidR="00040694" w:rsidRPr="003E15CE">
        <w:t>Autorizó</w:t>
      </w:r>
      <w:r w:rsidRPr="003E15CE">
        <w:t>: Lcda. Adriana Margarita Hernández Marquina</w:t>
      </w:r>
      <w:r w:rsidRPr="003E15CE">
        <w:tab/>
      </w:r>
      <w:r w:rsidRPr="003E15CE">
        <w:tab/>
      </w:r>
      <w:r w:rsidR="00EA2A64">
        <w:t xml:space="preserve">  </w:t>
      </w:r>
      <w:r w:rsidR="00EA2A64">
        <w:tab/>
      </w:r>
      <w:r w:rsidR="00EA2A64">
        <w:tab/>
      </w:r>
      <w:r w:rsidR="00EA2A64">
        <w:tab/>
      </w:r>
      <w:r w:rsidR="00040694" w:rsidRPr="003E15CE">
        <w:t>Elaboró</w:t>
      </w:r>
      <w:r w:rsidRPr="003E15CE">
        <w:t xml:space="preserve">: </w:t>
      </w:r>
      <w:r w:rsidRPr="003E15CE">
        <w:rPr>
          <w:bdr w:val="single" w:sz="12" w:space="0" w:color="FFFFFF" w:frame="1"/>
        </w:rPr>
        <w:t>Lcdo. Francisco Jesús Hernández Barrios</w:t>
      </w:r>
      <w:r w:rsidRPr="003E15CE">
        <w:t xml:space="preserve"> </w:t>
      </w:r>
    </w:p>
    <w:p w:rsidR="007A5850" w:rsidRPr="003E15CE" w:rsidRDefault="007A5850" w:rsidP="007A5850">
      <w:pPr>
        <w:pStyle w:val="TEXTONORMAL"/>
      </w:pPr>
      <w:r w:rsidRPr="003E15CE">
        <w:t xml:space="preserve">            Directora de Administración</w:t>
      </w:r>
      <w:r w:rsidRPr="003E15CE">
        <w:tab/>
      </w:r>
      <w:r w:rsidRPr="003E15CE">
        <w:tab/>
        <w:t xml:space="preserve"> </w:t>
      </w:r>
      <w:r w:rsidRPr="003E15CE">
        <w:tab/>
      </w:r>
      <w:r w:rsidRPr="003E15CE">
        <w:tab/>
      </w:r>
      <w:r w:rsidRPr="003E15CE">
        <w:tab/>
      </w:r>
      <w:r w:rsidR="00EA2A64">
        <w:tab/>
      </w:r>
      <w:r w:rsidR="00EA2A64">
        <w:tab/>
      </w:r>
      <w:r w:rsidRPr="003E15CE">
        <w:tab/>
        <w:t xml:space="preserve">            Subdirector de Recursos Financieros</w:t>
      </w:r>
    </w:p>
    <w:p w:rsidR="0022510F" w:rsidRDefault="0022510F" w:rsidP="009F61CA">
      <w:pPr>
        <w:pStyle w:val="TEXTONORMAL"/>
      </w:pPr>
    </w:p>
    <w:p w:rsidR="0022510F" w:rsidRPr="0022510F" w:rsidRDefault="0022510F" w:rsidP="009F61CA">
      <w:pPr>
        <w:pStyle w:val="TEXTONORMAL"/>
      </w:pPr>
      <w:bookmarkStart w:id="0" w:name="_GoBack"/>
      <w:bookmarkEnd w:id="0"/>
    </w:p>
    <w:sectPr w:rsidR="0022510F" w:rsidRPr="0022510F" w:rsidSect="002E3903">
      <w:headerReference w:type="default" r:id="rId10"/>
      <w:footerReference w:type="default" r:id="rId11"/>
      <w:headerReference w:type="first" r:id="rId12"/>
      <w:footerReference w:type="first" r:id="rId13"/>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95" w:rsidRDefault="00F85595" w:rsidP="00140DD8">
      <w:pPr>
        <w:spacing w:after="0" w:line="240" w:lineRule="auto"/>
      </w:pPr>
      <w:r>
        <w:separator/>
      </w:r>
    </w:p>
  </w:endnote>
  <w:endnote w:type="continuationSeparator" w:id="0">
    <w:p w:rsidR="00F85595" w:rsidRDefault="00F85595"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Times New Roman"/>
    <w:charset w:val="00"/>
    <w:family w:val="auto"/>
    <w:pitch w:val="default"/>
    <w:sig w:usb0="00000001" w:usb1="00000003" w:usb2="00000000" w:usb3="00000000" w:csb0="20000197"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20002A87" w:usb1="00000000" w:usb2="00000000"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jc w:val="center"/>
      <w:tblBorders>
        <w:top w:val="single" w:sz="8" w:space="0" w:color="808080"/>
      </w:tblBorders>
      <w:tblLook w:val="04A0" w:firstRow="1" w:lastRow="0" w:firstColumn="1" w:lastColumn="0" w:noHBand="0" w:noVBand="1"/>
    </w:tblPr>
    <w:tblGrid>
      <w:gridCol w:w="2077"/>
      <w:gridCol w:w="8968"/>
      <w:gridCol w:w="2092"/>
    </w:tblGrid>
    <w:tr w:rsidR="00FF572A" w:rsidRPr="00654D98" w:rsidTr="00760530">
      <w:trPr>
        <w:jc w:val="center"/>
      </w:trPr>
      <w:tc>
        <w:tcPr>
          <w:tcW w:w="2122" w:type="dxa"/>
          <w:tcBorders>
            <w:top w:val="nil"/>
            <w:bottom w:val="single" w:sz="12" w:space="0" w:color="D4C19C"/>
          </w:tcBorders>
          <w:shd w:val="clear" w:color="auto" w:fill="auto"/>
        </w:tcPr>
        <w:p w:rsidR="00FF572A" w:rsidRPr="00654D98" w:rsidRDefault="00FF572A"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FF572A" w:rsidRPr="00654D98" w:rsidRDefault="00FF572A"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FF572A" w:rsidRPr="00654D98" w:rsidRDefault="00FF572A" w:rsidP="00566761">
          <w:pPr>
            <w:pStyle w:val="Encabezado"/>
            <w:spacing w:after="0" w:line="240" w:lineRule="auto"/>
            <w:jc w:val="right"/>
            <w:rPr>
              <w:rFonts w:ascii="Montserrat" w:hAnsi="Montserrat"/>
              <w:sz w:val="16"/>
              <w:szCs w:val="16"/>
            </w:rPr>
          </w:pPr>
        </w:p>
      </w:tc>
    </w:tr>
    <w:tr w:rsidR="00FF572A" w:rsidRPr="00CB202B" w:rsidTr="00760530">
      <w:trPr>
        <w:jc w:val="center"/>
      </w:trPr>
      <w:tc>
        <w:tcPr>
          <w:tcW w:w="2122" w:type="dxa"/>
          <w:tcBorders>
            <w:top w:val="single" w:sz="12" w:space="0" w:color="D4C19C"/>
          </w:tcBorders>
          <w:shd w:val="clear" w:color="auto" w:fill="auto"/>
        </w:tcPr>
        <w:p w:rsidR="00FF572A" w:rsidRPr="00CB202B" w:rsidRDefault="00FF572A"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FF572A" w:rsidRPr="007C7497" w:rsidRDefault="00FF572A" w:rsidP="00B91081">
          <w:pPr>
            <w:pStyle w:val="PIEPAGENTE"/>
            <w:spacing w:before="60" w:after="60"/>
            <w:rPr>
              <w:rFonts w:ascii="Montserrat" w:hAnsi="Montserrat"/>
            </w:rPr>
          </w:pPr>
          <w:r>
            <w:rPr>
              <w:rFonts w:ascii="Montserrat" w:hAnsi="Montserrat"/>
            </w:rPr>
            <w:t>INSTITUTO NACIONAL DE MEDICINA GENÓMICA</w:t>
          </w:r>
        </w:p>
      </w:tc>
      <w:tc>
        <w:tcPr>
          <w:tcW w:w="2126" w:type="dxa"/>
          <w:tcBorders>
            <w:top w:val="single" w:sz="12" w:space="0" w:color="D4C19C"/>
          </w:tcBorders>
          <w:shd w:val="clear" w:color="auto" w:fill="auto"/>
        </w:tcPr>
        <w:p w:rsidR="00FF572A" w:rsidRPr="00102975" w:rsidRDefault="00FF572A"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0307DA">
            <w:rPr>
              <w:rFonts w:ascii="Montserrat" w:hAnsi="Montserrat"/>
              <w:noProof/>
              <w:sz w:val="18"/>
              <w:szCs w:val="18"/>
            </w:rPr>
            <w:t>16</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0307DA">
            <w:rPr>
              <w:rFonts w:ascii="Montserrat" w:hAnsi="Montserrat"/>
              <w:noProof/>
              <w:sz w:val="18"/>
              <w:szCs w:val="18"/>
            </w:rPr>
            <w:t>16</w:t>
          </w:r>
          <w:r w:rsidRPr="00102975">
            <w:rPr>
              <w:rFonts w:ascii="Montserrat" w:hAnsi="Montserrat"/>
              <w:sz w:val="18"/>
              <w:szCs w:val="18"/>
            </w:rPr>
            <w:fldChar w:fldCharType="end"/>
          </w:r>
        </w:p>
      </w:tc>
    </w:tr>
  </w:tbl>
  <w:p w:rsidR="00FF572A" w:rsidRPr="00CB202B" w:rsidRDefault="00FF572A"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808080"/>
      </w:tblBorders>
      <w:tblLook w:val="04A0" w:firstRow="1" w:lastRow="0" w:firstColumn="1" w:lastColumn="0" w:noHBand="0" w:noVBand="1"/>
    </w:tblPr>
    <w:tblGrid>
      <w:gridCol w:w="13137"/>
    </w:tblGrid>
    <w:tr w:rsidR="00FF572A" w:rsidTr="00E139E7">
      <w:trPr>
        <w:trHeight w:val="258"/>
        <w:jc w:val="center"/>
      </w:trPr>
      <w:tc>
        <w:tcPr>
          <w:tcW w:w="13137" w:type="dxa"/>
          <w:tcBorders>
            <w:top w:val="nil"/>
            <w:bottom w:val="single" w:sz="8" w:space="0" w:color="808080"/>
          </w:tcBorders>
          <w:shd w:val="clear" w:color="auto" w:fill="auto"/>
        </w:tcPr>
        <w:p w:rsidR="00FF572A" w:rsidRPr="00AC2541" w:rsidRDefault="00FF572A" w:rsidP="00566761">
          <w:pPr>
            <w:pStyle w:val="Encabezado"/>
            <w:spacing w:after="0" w:line="240" w:lineRule="auto"/>
            <w:jc w:val="center"/>
            <w:rPr>
              <w:rFonts w:ascii="Soberana Sans" w:hAnsi="Soberana Sans"/>
              <w:sz w:val="16"/>
              <w:szCs w:val="16"/>
            </w:rPr>
          </w:pPr>
        </w:p>
      </w:tc>
    </w:tr>
    <w:tr w:rsidR="00FF572A" w:rsidTr="00E139E7">
      <w:trPr>
        <w:trHeight w:val="258"/>
        <w:jc w:val="center"/>
      </w:trPr>
      <w:tc>
        <w:tcPr>
          <w:tcW w:w="13137" w:type="dxa"/>
          <w:tcBorders>
            <w:top w:val="single" w:sz="8" w:space="0" w:color="808080"/>
          </w:tcBorders>
          <w:shd w:val="clear" w:color="auto" w:fill="auto"/>
        </w:tcPr>
        <w:p w:rsidR="00FF572A" w:rsidRPr="00477E89" w:rsidRDefault="00FF572A"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0307DA">
            <w:rPr>
              <w:noProof/>
              <w:szCs w:val="16"/>
            </w:rPr>
            <w:t>16</w:t>
          </w:r>
          <w:r w:rsidRPr="00477E89">
            <w:rPr>
              <w:szCs w:val="16"/>
            </w:rPr>
            <w:fldChar w:fldCharType="end"/>
          </w:r>
        </w:p>
      </w:tc>
    </w:tr>
  </w:tbl>
  <w:p w:rsidR="00FF572A" w:rsidRPr="00AD10AF" w:rsidRDefault="00FF572A"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95" w:rsidRDefault="00F85595" w:rsidP="00140DD8">
      <w:pPr>
        <w:spacing w:after="0" w:line="240" w:lineRule="auto"/>
      </w:pPr>
      <w:r>
        <w:separator/>
      </w:r>
    </w:p>
  </w:footnote>
  <w:footnote w:type="continuationSeparator" w:id="0">
    <w:p w:rsidR="00F85595" w:rsidRDefault="00F85595"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tblBorders>
        <w:bottom w:val="single" w:sz="12" w:space="0" w:color="9D2449"/>
      </w:tblBorders>
      <w:tblLook w:val="04A0" w:firstRow="1" w:lastRow="0" w:firstColumn="1" w:lastColumn="0" w:noHBand="0" w:noVBand="1"/>
    </w:tblPr>
    <w:tblGrid>
      <w:gridCol w:w="13137"/>
    </w:tblGrid>
    <w:tr w:rsidR="00FF572A" w:rsidRPr="004E66AE" w:rsidTr="00394863">
      <w:tc>
        <w:tcPr>
          <w:tcW w:w="13137" w:type="dxa"/>
          <w:tcBorders>
            <w:bottom w:val="nil"/>
          </w:tcBorders>
          <w:shd w:val="clear" w:color="auto" w:fill="auto"/>
          <w:vAlign w:val="bottom"/>
        </w:tcPr>
        <w:p w:rsidR="00FF572A" w:rsidRPr="00476C78" w:rsidRDefault="00FF572A" w:rsidP="00D4640D">
          <w:pPr>
            <w:pStyle w:val="Encabezado"/>
            <w:spacing w:after="60" w:line="240" w:lineRule="auto"/>
            <w:jc w:val="center"/>
            <w:rPr>
              <w:rFonts w:ascii="Montserrat SemiBold" w:hAnsi="Montserrat SemiBold"/>
              <w:color w:val="9D2449"/>
              <w:sz w:val="26"/>
              <w:szCs w:val="26"/>
            </w:rPr>
          </w:pPr>
          <w:r>
            <w:rPr>
              <w:rFonts w:ascii="Montserrat SemiBold" w:hAnsi="Montserrat SemiBold"/>
              <w:color w:val="9D2449"/>
              <w:sz w:val="26"/>
              <w:szCs w:val="26"/>
            </w:rPr>
            <w:t>tercer trimestre 2022</w:t>
          </w:r>
        </w:p>
      </w:tc>
    </w:tr>
  </w:tbl>
  <w:p w:rsidR="00FF572A" w:rsidRPr="00180068" w:rsidRDefault="00FF572A"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3189E946" wp14:editId="12C6EE43">
              <wp:simplePos x="0" y="0"/>
              <wp:positionH relativeFrom="column">
                <wp:posOffset>-71755</wp:posOffset>
              </wp:positionH>
              <wp:positionV relativeFrom="paragraph">
                <wp:posOffset>1269</wp:posOffset>
              </wp:positionV>
              <wp:extent cx="8336915" cy="0"/>
              <wp:effectExtent l="0" t="19050" r="2603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137"/>
    </w:tblGrid>
    <w:tr w:rsidR="00FF572A" w:rsidTr="00E139E7">
      <w:tc>
        <w:tcPr>
          <w:tcW w:w="13137" w:type="dxa"/>
          <w:shd w:val="clear" w:color="auto" w:fill="auto"/>
        </w:tcPr>
        <w:p w:rsidR="00FF572A" w:rsidRPr="00AC2541" w:rsidRDefault="00FF572A" w:rsidP="00C066E3">
          <w:pPr>
            <w:pStyle w:val="Encabezado"/>
            <w:spacing w:after="0" w:line="240" w:lineRule="auto"/>
            <w:jc w:val="center"/>
            <w:rPr>
              <w:rFonts w:ascii="Soberana Titular" w:hAnsi="Soberana Titular"/>
              <w:b/>
            </w:rPr>
          </w:pPr>
        </w:p>
        <w:p w:rsidR="00FF572A" w:rsidRPr="00AC2541" w:rsidRDefault="00FF572A" w:rsidP="00C066E3">
          <w:pPr>
            <w:pStyle w:val="Encabezado"/>
            <w:spacing w:after="0" w:line="240" w:lineRule="auto"/>
            <w:jc w:val="center"/>
            <w:rPr>
              <w:rFonts w:ascii="Soberana Titular" w:hAnsi="Soberana Titular"/>
              <w:b/>
            </w:rPr>
          </w:pPr>
        </w:p>
        <w:p w:rsidR="00FF572A" w:rsidRPr="00934114" w:rsidRDefault="00FF572A"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rsidR="00FF572A" w:rsidRPr="00180068" w:rsidRDefault="00FF572A"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05A"/>
    <w:multiLevelType w:val="hybridMultilevel"/>
    <w:tmpl w:val="443E514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3DE056C"/>
    <w:multiLevelType w:val="hybridMultilevel"/>
    <w:tmpl w:val="A24CB334"/>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7056C06"/>
    <w:multiLevelType w:val="hybridMultilevel"/>
    <w:tmpl w:val="5328A5C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70A477C"/>
    <w:multiLevelType w:val="multilevel"/>
    <w:tmpl w:val="425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nsid w:val="132C43AD"/>
    <w:multiLevelType w:val="hybridMultilevel"/>
    <w:tmpl w:val="93047794"/>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0F04BD"/>
    <w:multiLevelType w:val="hybridMultilevel"/>
    <w:tmpl w:val="CFEE5D6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1F0DE9"/>
    <w:multiLevelType w:val="hybridMultilevel"/>
    <w:tmpl w:val="88129D24"/>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0BD358B"/>
    <w:multiLevelType w:val="hybridMultilevel"/>
    <w:tmpl w:val="A95A5BE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2">
    <w:nsid w:val="22FC49B0"/>
    <w:multiLevelType w:val="hybridMultilevel"/>
    <w:tmpl w:val="22CAE4B4"/>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13">
    <w:nsid w:val="25D05F05"/>
    <w:multiLevelType w:val="hybridMultilevel"/>
    <w:tmpl w:val="110E8D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7B92D77"/>
    <w:multiLevelType w:val="hybridMultilevel"/>
    <w:tmpl w:val="599287B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A5070AF"/>
    <w:multiLevelType w:val="multilevel"/>
    <w:tmpl w:val="622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26F95"/>
    <w:multiLevelType w:val="hybridMultilevel"/>
    <w:tmpl w:val="96DE571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29C4EDA"/>
    <w:multiLevelType w:val="hybridMultilevel"/>
    <w:tmpl w:val="9378FD4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49B6698"/>
    <w:multiLevelType w:val="hybridMultilevel"/>
    <w:tmpl w:val="29A0373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37AD302D"/>
    <w:multiLevelType w:val="hybridMultilevel"/>
    <w:tmpl w:val="E5EC3676"/>
    <w:lvl w:ilvl="0" w:tplc="080A0009">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0">
    <w:nsid w:val="39424734"/>
    <w:multiLevelType w:val="hybridMultilevel"/>
    <w:tmpl w:val="C4D4A9E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39960059"/>
    <w:multiLevelType w:val="hybridMultilevel"/>
    <w:tmpl w:val="966AF71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3E11492F"/>
    <w:multiLevelType w:val="hybridMultilevel"/>
    <w:tmpl w:val="F4F031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EBA36A3"/>
    <w:multiLevelType w:val="hybridMultilevel"/>
    <w:tmpl w:val="A75264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3FEE3ECD"/>
    <w:multiLevelType w:val="hybridMultilevel"/>
    <w:tmpl w:val="BB6CC03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43990FF7"/>
    <w:multiLevelType w:val="hybridMultilevel"/>
    <w:tmpl w:val="65E2ED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ED68CA"/>
    <w:multiLevelType w:val="hybridMultilevel"/>
    <w:tmpl w:val="321A89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0A3166"/>
    <w:multiLevelType w:val="hybridMultilevel"/>
    <w:tmpl w:val="BC60213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46DA5E17"/>
    <w:multiLevelType w:val="hybridMultilevel"/>
    <w:tmpl w:val="CCDED6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47D85F14"/>
    <w:multiLevelType w:val="hybridMultilevel"/>
    <w:tmpl w:val="F928395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32">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454E68"/>
    <w:multiLevelType w:val="hybridMultilevel"/>
    <w:tmpl w:val="36502114"/>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A7C080A"/>
    <w:multiLevelType w:val="hybridMultilevel"/>
    <w:tmpl w:val="8F7277AE"/>
    <w:lvl w:ilvl="0" w:tplc="080A000B">
      <w:start w:val="1"/>
      <w:numFmt w:val="bullet"/>
      <w:lvlText w:val=""/>
      <w:lvlJc w:val="left"/>
      <w:pPr>
        <w:ind w:left="644" w:hanging="360"/>
      </w:pPr>
      <w:rPr>
        <w:rFonts w:ascii="Wingdings" w:hAnsi="Wingdings" w:hint="default"/>
      </w:rPr>
    </w:lvl>
    <w:lvl w:ilvl="1" w:tplc="D97868A4">
      <w:numFmt w:val="bullet"/>
      <w:lvlText w:val="•"/>
      <w:lvlJc w:val="left"/>
      <w:pPr>
        <w:ind w:left="1785" w:hanging="705"/>
      </w:pPr>
      <w:rPr>
        <w:rFonts w:ascii="Montserrat" w:eastAsia="Calibri" w:hAnsi="Montserrat"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DCF27FC"/>
    <w:multiLevelType w:val="hybridMultilevel"/>
    <w:tmpl w:val="628E4EC0"/>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37">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8">
    <w:nsid w:val="68AE2E5A"/>
    <w:multiLevelType w:val="hybridMultilevel"/>
    <w:tmpl w:val="E1261660"/>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39">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2C3258"/>
    <w:multiLevelType w:val="hybridMultilevel"/>
    <w:tmpl w:val="F28C732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253259B"/>
    <w:multiLevelType w:val="hybridMultilevel"/>
    <w:tmpl w:val="7B8C3CB0"/>
    <w:lvl w:ilvl="0" w:tplc="080A0009">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4">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45">
    <w:nsid w:val="755768DE"/>
    <w:multiLevelType w:val="hybridMultilevel"/>
    <w:tmpl w:val="08945EAC"/>
    <w:lvl w:ilvl="0" w:tplc="080A0009">
      <w:start w:val="1"/>
      <w:numFmt w:val="bullet"/>
      <w:lvlText w:val=""/>
      <w:lvlJc w:val="left"/>
      <w:pPr>
        <w:ind w:left="1069" w:hanging="360"/>
      </w:pPr>
      <w:rPr>
        <w:rFonts w:ascii="Wingdings" w:hAnsi="Wingdings"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46">
    <w:nsid w:val="77B47B79"/>
    <w:multiLevelType w:val="hybridMultilevel"/>
    <w:tmpl w:val="5B66AA0E"/>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47">
    <w:nsid w:val="7D156401"/>
    <w:multiLevelType w:val="hybridMultilevel"/>
    <w:tmpl w:val="6EA4EFB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7E4739BB"/>
    <w:multiLevelType w:val="hybridMultilevel"/>
    <w:tmpl w:val="447CD3F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42"/>
  </w:num>
  <w:num w:numId="4">
    <w:abstractNumId w:val="37"/>
  </w:num>
  <w:num w:numId="5">
    <w:abstractNumId w:val="31"/>
  </w:num>
  <w:num w:numId="6">
    <w:abstractNumId w:val="5"/>
  </w:num>
  <w:num w:numId="7">
    <w:abstractNumId w:val="11"/>
  </w:num>
  <w:num w:numId="8">
    <w:abstractNumId w:val="2"/>
  </w:num>
  <w:num w:numId="9">
    <w:abstractNumId w:val="40"/>
  </w:num>
  <w:num w:numId="10">
    <w:abstractNumId w:val="8"/>
  </w:num>
  <w:num w:numId="11">
    <w:abstractNumId w:val="39"/>
  </w:num>
  <w:num w:numId="12">
    <w:abstractNumId w:val="32"/>
  </w:num>
  <w:num w:numId="13">
    <w:abstractNumId w:val="44"/>
  </w:num>
  <w:num w:numId="14">
    <w:abstractNumId w:val="16"/>
  </w:num>
  <w:num w:numId="15">
    <w:abstractNumId w:val="30"/>
  </w:num>
  <w:num w:numId="16">
    <w:abstractNumId w:val="3"/>
  </w:num>
  <w:num w:numId="17">
    <w:abstractNumId w:val="45"/>
  </w:num>
  <w:num w:numId="18">
    <w:abstractNumId w:val="22"/>
  </w:num>
  <w:num w:numId="19">
    <w:abstractNumId w:val="24"/>
  </w:num>
  <w:num w:numId="20">
    <w:abstractNumId w:val="35"/>
  </w:num>
  <w:num w:numId="21">
    <w:abstractNumId w:val="33"/>
  </w:num>
  <w:num w:numId="22">
    <w:abstractNumId w:val="12"/>
  </w:num>
  <w:num w:numId="23">
    <w:abstractNumId w:val="41"/>
  </w:num>
  <w:num w:numId="24">
    <w:abstractNumId w:val="0"/>
  </w:num>
  <w:num w:numId="25">
    <w:abstractNumId w:val="26"/>
  </w:num>
  <w:num w:numId="26">
    <w:abstractNumId w:val="18"/>
  </w:num>
  <w:num w:numId="27">
    <w:abstractNumId w:val="23"/>
  </w:num>
  <w:num w:numId="28">
    <w:abstractNumId w:val="20"/>
  </w:num>
  <w:num w:numId="29">
    <w:abstractNumId w:val="1"/>
  </w:num>
  <w:num w:numId="30">
    <w:abstractNumId w:val="46"/>
  </w:num>
  <w:num w:numId="31">
    <w:abstractNumId w:val="38"/>
  </w:num>
  <w:num w:numId="32">
    <w:abstractNumId w:val="13"/>
  </w:num>
  <w:num w:numId="33">
    <w:abstractNumId w:val="47"/>
  </w:num>
  <w:num w:numId="34">
    <w:abstractNumId w:val="34"/>
  </w:num>
  <w:num w:numId="35">
    <w:abstractNumId w:val="17"/>
  </w:num>
  <w:num w:numId="36">
    <w:abstractNumId w:val="48"/>
  </w:num>
  <w:num w:numId="37">
    <w:abstractNumId w:val="10"/>
  </w:num>
  <w:num w:numId="38">
    <w:abstractNumId w:val="7"/>
  </w:num>
  <w:num w:numId="39">
    <w:abstractNumId w:val="43"/>
  </w:num>
  <w:num w:numId="40">
    <w:abstractNumId w:val="28"/>
  </w:num>
  <w:num w:numId="41">
    <w:abstractNumId w:val="19"/>
  </w:num>
  <w:num w:numId="42">
    <w:abstractNumId w:val="6"/>
  </w:num>
  <w:num w:numId="43">
    <w:abstractNumId w:val="4"/>
  </w:num>
  <w:num w:numId="44">
    <w:abstractNumId w:val="15"/>
  </w:num>
  <w:num w:numId="45">
    <w:abstractNumId w:val="9"/>
  </w:num>
  <w:num w:numId="46">
    <w:abstractNumId w:val="14"/>
  </w:num>
  <w:num w:numId="47">
    <w:abstractNumId w:val="25"/>
  </w:num>
  <w:num w:numId="48">
    <w:abstractNumId w:val="2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1C"/>
    <w:rsid w:val="00002F9E"/>
    <w:rsid w:val="0002094D"/>
    <w:rsid w:val="000307DA"/>
    <w:rsid w:val="00040694"/>
    <w:rsid w:val="000505F9"/>
    <w:rsid w:val="0006285E"/>
    <w:rsid w:val="00063C9A"/>
    <w:rsid w:val="00071FC7"/>
    <w:rsid w:val="00074B57"/>
    <w:rsid w:val="00087A9F"/>
    <w:rsid w:val="000A0BE0"/>
    <w:rsid w:val="000A3875"/>
    <w:rsid w:val="000A7D36"/>
    <w:rsid w:val="000C006C"/>
    <w:rsid w:val="000C4898"/>
    <w:rsid w:val="000C6523"/>
    <w:rsid w:val="000D7974"/>
    <w:rsid w:val="000E29E2"/>
    <w:rsid w:val="000E397D"/>
    <w:rsid w:val="000E71DF"/>
    <w:rsid w:val="00102975"/>
    <w:rsid w:val="001121F1"/>
    <w:rsid w:val="00113EDF"/>
    <w:rsid w:val="00135026"/>
    <w:rsid w:val="00135C64"/>
    <w:rsid w:val="00137B77"/>
    <w:rsid w:val="00140DD8"/>
    <w:rsid w:val="001456F2"/>
    <w:rsid w:val="001527E5"/>
    <w:rsid w:val="00164CC7"/>
    <w:rsid w:val="00180068"/>
    <w:rsid w:val="00180F7A"/>
    <w:rsid w:val="001A6F92"/>
    <w:rsid w:val="001B6970"/>
    <w:rsid w:val="001C2BC1"/>
    <w:rsid w:val="001C76AE"/>
    <w:rsid w:val="001D29CC"/>
    <w:rsid w:val="001D5174"/>
    <w:rsid w:val="001E0E59"/>
    <w:rsid w:val="001F44BC"/>
    <w:rsid w:val="00202B8E"/>
    <w:rsid w:val="002162DC"/>
    <w:rsid w:val="0022510F"/>
    <w:rsid w:val="00240BD7"/>
    <w:rsid w:val="00243B68"/>
    <w:rsid w:val="0026536E"/>
    <w:rsid w:val="00280F04"/>
    <w:rsid w:val="00295657"/>
    <w:rsid w:val="002A6003"/>
    <w:rsid w:val="002B2B9A"/>
    <w:rsid w:val="002D375F"/>
    <w:rsid w:val="002E3903"/>
    <w:rsid w:val="002F54D3"/>
    <w:rsid w:val="003140E1"/>
    <w:rsid w:val="003156C2"/>
    <w:rsid w:val="00316552"/>
    <w:rsid w:val="00321E1E"/>
    <w:rsid w:val="00324E97"/>
    <w:rsid w:val="0034031B"/>
    <w:rsid w:val="003504B8"/>
    <w:rsid w:val="003545D5"/>
    <w:rsid w:val="0035463F"/>
    <w:rsid w:val="00354816"/>
    <w:rsid w:val="00357C25"/>
    <w:rsid w:val="0037216F"/>
    <w:rsid w:val="00394863"/>
    <w:rsid w:val="003A3DE2"/>
    <w:rsid w:val="003B7CCA"/>
    <w:rsid w:val="003C00CB"/>
    <w:rsid w:val="003D58B5"/>
    <w:rsid w:val="003E15CE"/>
    <w:rsid w:val="003E461D"/>
    <w:rsid w:val="003E766E"/>
    <w:rsid w:val="004225BE"/>
    <w:rsid w:val="00423930"/>
    <w:rsid w:val="00432C9A"/>
    <w:rsid w:val="00434B83"/>
    <w:rsid w:val="004575A7"/>
    <w:rsid w:val="00460DC1"/>
    <w:rsid w:val="00476C78"/>
    <w:rsid w:val="0047740A"/>
    <w:rsid w:val="00477E89"/>
    <w:rsid w:val="00483C33"/>
    <w:rsid w:val="0049749F"/>
    <w:rsid w:val="004B4093"/>
    <w:rsid w:val="004D7AE8"/>
    <w:rsid w:val="004E0D88"/>
    <w:rsid w:val="004F7BC1"/>
    <w:rsid w:val="005162BD"/>
    <w:rsid w:val="0052326A"/>
    <w:rsid w:val="00531372"/>
    <w:rsid w:val="0055709D"/>
    <w:rsid w:val="00566761"/>
    <w:rsid w:val="005746EA"/>
    <w:rsid w:val="00587507"/>
    <w:rsid w:val="0059235A"/>
    <w:rsid w:val="00592634"/>
    <w:rsid w:val="00597430"/>
    <w:rsid w:val="005A0BAD"/>
    <w:rsid w:val="005B2E30"/>
    <w:rsid w:val="005B6274"/>
    <w:rsid w:val="005C3538"/>
    <w:rsid w:val="0060339B"/>
    <w:rsid w:val="0060492B"/>
    <w:rsid w:val="00633A62"/>
    <w:rsid w:val="00635DC3"/>
    <w:rsid w:val="006370F0"/>
    <w:rsid w:val="00642744"/>
    <w:rsid w:val="00654D98"/>
    <w:rsid w:val="00667DEF"/>
    <w:rsid w:val="006849A8"/>
    <w:rsid w:val="006851CC"/>
    <w:rsid w:val="00686E7A"/>
    <w:rsid w:val="006E1043"/>
    <w:rsid w:val="006E718F"/>
    <w:rsid w:val="00700DBB"/>
    <w:rsid w:val="00701187"/>
    <w:rsid w:val="0071159A"/>
    <w:rsid w:val="00724052"/>
    <w:rsid w:val="007258CD"/>
    <w:rsid w:val="00735E33"/>
    <w:rsid w:val="007431B2"/>
    <w:rsid w:val="00744EE0"/>
    <w:rsid w:val="007546B7"/>
    <w:rsid w:val="00760530"/>
    <w:rsid w:val="00771E13"/>
    <w:rsid w:val="007843E5"/>
    <w:rsid w:val="007939D8"/>
    <w:rsid w:val="00796F1C"/>
    <w:rsid w:val="007A30B7"/>
    <w:rsid w:val="007A5850"/>
    <w:rsid w:val="007B3665"/>
    <w:rsid w:val="007B3F4A"/>
    <w:rsid w:val="007B718B"/>
    <w:rsid w:val="007C7497"/>
    <w:rsid w:val="007D2C09"/>
    <w:rsid w:val="007E2ADE"/>
    <w:rsid w:val="00802C7F"/>
    <w:rsid w:val="0080604E"/>
    <w:rsid w:val="00837361"/>
    <w:rsid w:val="00850BB3"/>
    <w:rsid w:val="008607B0"/>
    <w:rsid w:val="008651DA"/>
    <w:rsid w:val="008741BF"/>
    <w:rsid w:val="00884C1B"/>
    <w:rsid w:val="00894F2A"/>
    <w:rsid w:val="008B733C"/>
    <w:rsid w:val="008C5C0F"/>
    <w:rsid w:val="008E750B"/>
    <w:rsid w:val="008F5FF4"/>
    <w:rsid w:val="008F73DE"/>
    <w:rsid w:val="00905EBC"/>
    <w:rsid w:val="00906759"/>
    <w:rsid w:val="00921686"/>
    <w:rsid w:val="00925415"/>
    <w:rsid w:val="00934114"/>
    <w:rsid w:val="0094007B"/>
    <w:rsid w:val="00986E82"/>
    <w:rsid w:val="00992D4F"/>
    <w:rsid w:val="009A70DB"/>
    <w:rsid w:val="009C61CC"/>
    <w:rsid w:val="009F5FCC"/>
    <w:rsid w:val="009F61CA"/>
    <w:rsid w:val="00A0170A"/>
    <w:rsid w:val="00A06076"/>
    <w:rsid w:val="00A10A7B"/>
    <w:rsid w:val="00A21113"/>
    <w:rsid w:val="00A260B0"/>
    <w:rsid w:val="00A27D71"/>
    <w:rsid w:val="00A33B32"/>
    <w:rsid w:val="00A53CDB"/>
    <w:rsid w:val="00A62EAA"/>
    <w:rsid w:val="00A8290D"/>
    <w:rsid w:val="00A872D1"/>
    <w:rsid w:val="00A87E00"/>
    <w:rsid w:val="00A92B48"/>
    <w:rsid w:val="00AA3BF8"/>
    <w:rsid w:val="00AC2541"/>
    <w:rsid w:val="00AC2C54"/>
    <w:rsid w:val="00AD10AF"/>
    <w:rsid w:val="00AD5ACF"/>
    <w:rsid w:val="00AE6195"/>
    <w:rsid w:val="00AE6A13"/>
    <w:rsid w:val="00AF5A64"/>
    <w:rsid w:val="00B01E1D"/>
    <w:rsid w:val="00B0614F"/>
    <w:rsid w:val="00B15D40"/>
    <w:rsid w:val="00B26D50"/>
    <w:rsid w:val="00B31913"/>
    <w:rsid w:val="00B40902"/>
    <w:rsid w:val="00B70B9A"/>
    <w:rsid w:val="00B751F9"/>
    <w:rsid w:val="00B91081"/>
    <w:rsid w:val="00B91FBF"/>
    <w:rsid w:val="00B97257"/>
    <w:rsid w:val="00BB4E83"/>
    <w:rsid w:val="00BB56EC"/>
    <w:rsid w:val="00BC6283"/>
    <w:rsid w:val="00BF13EB"/>
    <w:rsid w:val="00C05301"/>
    <w:rsid w:val="00C066E3"/>
    <w:rsid w:val="00C42756"/>
    <w:rsid w:val="00C55164"/>
    <w:rsid w:val="00C60401"/>
    <w:rsid w:val="00C629F6"/>
    <w:rsid w:val="00C75284"/>
    <w:rsid w:val="00C7671E"/>
    <w:rsid w:val="00C86735"/>
    <w:rsid w:val="00C936AD"/>
    <w:rsid w:val="00CB202B"/>
    <w:rsid w:val="00CD349B"/>
    <w:rsid w:val="00CE7C4E"/>
    <w:rsid w:val="00CF14D4"/>
    <w:rsid w:val="00CF4C4E"/>
    <w:rsid w:val="00D10E6A"/>
    <w:rsid w:val="00D14CF2"/>
    <w:rsid w:val="00D24800"/>
    <w:rsid w:val="00D27309"/>
    <w:rsid w:val="00D4640D"/>
    <w:rsid w:val="00D46A37"/>
    <w:rsid w:val="00DB52EE"/>
    <w:rsid w:val="00DC3F33"/>
    <w:rsid w:val="00DD1231"/>
    <w:rsid w:val="00E0234E"/>
    <w:rsid w:val="00E139E7"/>
    <w:rsid w:val="00E20300"/>
    <w:rsid w:val="00E400E8"/>
    <w:rsid w:val="00E5221C"/>
    <w:rsid w:val="00E5371E"/>
    <w:rsid w:val="00EA16A0"/>
    <w:rsid w:val="00EA2A64"/>
    <w:rsid w:val="00EA7995"/>
    <w:rsid w:val="00EC1345"/>
    <w:rsid w:val="00EC31CB"/>
    <w:rsid w:val="00EC6078"/>
    <w:rsid w:val="00EE4874"/>
    <w:rsid w:val="00EF2A5E"/>
    <w:rsid w:val="00F23704"/>
    <w:rsid w:val="00F34D8C"/>
    <w:rsid w:val="00F3654D"/>
    <w:rsid w:val="00F438DE"/>
    <w:rsid w:val="00F44CA0"/>
    <w:rsid w:val="00F522AD"/>
    <w:rsid w:val="00F61314"/>
    <w:rsid w:val="00F62A94"/>
    <w:rsid w:val="00F62C5A"/>
    <w:rsid w:val="00F8423B"/>
    <w:rsid w:val="00F85595"/>
    <w:rsid w:val="00FA0795"/>
    <w:rsid w:val="00FA678E"/>
    <w:rsid w:val="00FB248C"/>
    <w:rsid w:val="00FB71EB"/>
    <w:rsid w:val="00FD1425"/>
    <w:rsid w:val="00FD184A"/>
    <w:rsid w:val="00FF572A"/>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basedOn w:val="Normal"/>
    <w:uiPriority w:val="34"/>
    <w:qFormat/>
    <w:rsid w:val="00063C9A"/>
    <w:pPr>
      <w:ind w:left="708"/>
    </w:pPr>
  </w:style>
  <w:style w:type="paragraph" w:styleId="NormalWeb">
    <w:name w:val="Normal (Web)"/>
    <w:basedOn w:val="Normal"/>
    <w:uiPriority w:val="99"/>
    <w:semiHidden/>
    <w:unhideWhenUsed/>
    <w:rsid w:val="004575A7"/>
    <w:pPr>
      <w:spacing w:before="100" w:beforeAutospacing="1" w:after="100" w:afterAutospacing="1" w:line="240" w:lineRule="auto"/>
    </w:pPr>
    <w:rPr>
      <w:rFonts w:ascii="Times New Roman" w:eastAsia="Times New Roman"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basedOn w:val="Normal"/>
    <w:uiPriority w:val="34"/>
    <w:qFormat/>
    <w:rsid w:val="00063C9A"/>
    <w:pPr>
      <w:ind w:left="708"/>
    </w:pPr>
  </w:style>
  <w:style w:type="paragraph" w:styleId="NormalWeb">
    <w:name w:val="Normal (Web)"/>
    <w:basedOn w:val="Normal"/>
    <w:uiPriority w:val="99"/>
    <w:semiHidden/>
    <w:unhideWhenUsed/>
    <w:rsid w:val="004575A7"/>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2673">
      <w:bodyDiv w:val="1"/>
      <w:marLeft w:val="0"/>
      <w:marRight w:val="0"/>
      <w:marTop w:val="0"/>
      <w:marBottom w:val="0"/>
      <w:divBdr>
        <w:top w:val="none" w:sz="0" w:space="0" w:color="auto"/>
        <w:left w:val="none" w:sz="0" w:space="0" w:color="auto"/>
        <w:bottom w:val="none" w:sz="0" w:space="0" w:color="auto"/>
        <w:right w:val="none" w:sz="0" w:space="0" w:color="auto"/>
      </w:divBdr>
    </w:div>
    <w:div w:id="17767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871B-8788-4C60-9524-6A181A01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426</TotalTime>
  <Pages>16</Pages>
  <Words>4535</Words>
  <Characters>24944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INMEGEN</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Alfredo Rios Lopez</cp:lastModifiedBy>
  <cp:revision>10</cp:revision>
  <cp:lastPrinted>2022-12-14T17:54:00Z</cp:lastPrinted>
  <dcterms:created xsi:type="dcterms:W3CDTF">2022-11-29T16:08:00Z</dcterms:created>
  <dcterms:modified xsi:type="dcterms:W3CDTF">2022-12-14T17:55:00Z</dcterms:modified>
</cp:coreProperties>
</file>